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4"/>
        </w:rPr>
        <w:t>CSVtoCSA</w:t>
      </w:r>
    </w:p>
    <w:p>
      <w:pPr>
        <w:jc w:val="center"/>
      </w:pPr>
      <w:r>
        <w:rPr>
          <w:b/>
          <w:sz w:val="48"/>
        </w:rPr>
        <w:t>Computer Software Assurance Foundations</w:t>
      </w:r>
    </w:p>
    <w:p>
      <w:pPr>
        <w:jc w:val="center"/>
      </w:pPr>
      <w:r>
        <w:rPr>
          <w:b/>
          <w:sz w:val="40"/>
        </w:rPr>
        <w:t>Module 2: Intended Use and GxP Assessment</w:t>
      </w:r>
    </w:p>
    <w:p>
      <w:pPr>
        <w:jc w:val="center"/>
      </w:pPr>
      <w:r>
        <w:rPr>
          <w:i/>
        </w:rPr>
        <w:t>Practical training for CSV, CSA, Quality, Validation and IT Quality practitioners</w:t>
      </w:r>
    </w:p>
    <w:p/>
    <w:p>
      <w:pPr>
        <w:jc w:val="center"/>
      </w:pPr>
      <w:r>
        <w:rPr>
          <w:b/>
        </w:rPr>
        <w:t>Estimated study time: 50–70 minutes</w:t>
      </w:r>
    </w:p>
    <w:p>
      <w:pPr>
        <w:jc w:val="center"/>
      </w:pPr>
      <w:r>
        <w:t>Program material • Educational use • Version 1.0</w:t>
      </w:r>
    </w:p>
    <w:p>
      <w:r>
        <w:br w:type="page"/>
      </w:r>
    </w:p>
    <w:p>
      <w:pPr>
        <w:pStyle w:val="Heading1"/>
      </w:pPr>
      <w:r>
        <w:t>Module Overview</w:t>
      </w:r>
    </w:p>
    <w:p>
      <w:r>
        <w:t>Intended use and GxP assessment establish the basis for nearly every later validation decision. If the intended use is vague, the functional risk assessment will also be vague. If the GxP assessment is based only on a software category or vendor label, the validation approach may be either excessive or incomplete. This module teaches a practical method for defining what the organization relies on the software to do, determining whether that use supports a regulated process or record, identifying the functions that matter, and setting an appropriate assessment boundary.</w:t>
      </w:r>
    </w:p>
    <w:p>
      <w:r>
        <w:t>The objective is not to create a long system description. The objective is to state the use clearly enough that a reviewer can understand what process depends on the software, what decisions or records are affected, which functions are GxP-relevant, and what should move forward into functional risk assessment.</w:t>
      </w:r>
    </w:p>
    <w:p>
      <w:pPr>
        <w:pStyle w:val="Heading1"/>
      </w:pPr>
      <w:r>
        <w:t>Learning Objectives</w:t>
      </w:r>
    </w:p>
    <w:p>
      <w:pPr>
        <w:pStyle w:val="ListBullet"/>
      </w:pPr>
      <w:r>
        <w:t>Explain why intended use is the starting point for software assurance.</w:t>
      </w:r>
    </w:p>
    <w:p>
      <w:pPr>
        <w:pStyle w:val="ListBullet"/>
      </w:pPr>
      <w:r>
        <w:t>Write an intended-use statement that is specific enough to support risk assessment and testing.</w:t>
      </w:r>
    </w:p>
    <w:p>
      <w:pPr>
        <w:pStyle w:val="ListBullet"/>
      </w:pPr>
      <w:r>
        <w:t>Distinguish business importance from GxP impact.</w:t>
      </w:r>
    </w:p>
    <w:p>
      <w:pPr>
        <w:pStyle w:val="ListBullet"/>
      </w:pPr>
      <w:r>
        <w:t>Perform a practical GxP assessment based on the software's role in the regulated process.</w:t>
      </w:r>
    </w:p>
    <w:p>
      <w:pPr>
        <w:pStyle w:val="ListBullet"/>
      </w:pPr>
      <w:r>
        <w:t>Identify GxP functions without automatically classifying every system function the same way.</w:t>
      </w:r>
    </w:p>
    <w:p>
      <w:pPr>
        <w:pStyle w:val="ListBullet"/>
      </w:pPr>
      <w:r>
        <w:t>Define a system boundary that includes relevant interfaces, identities, data flows, and dependent systems.</w:t>
      </w:r>
    </w:p>
    <w:p>
      <w:pPr>
        <w:pStyle w:val="ListBullet"/>
      </w:pPr>
      <w:r>
        <w:t>Recognize common assessment errors and explain how they affect the validation approach.</w:t>
      </w:r>
    </w:p>
    <w:p>
      <w:pPr>
        <w:pStyle w:val="Heading1"/>
      </w:pPr>
      <w:r>
        <w:t>2.1 Why Intended Use Comes First</w:t>
      </w:r>
    </w:p>
    <w:p>
      <w:r>
        <w:t>A software product does not have one universal validation status that applies to every customer and every use. The same platform can support a regulated process in one organization and a non-GxP activity in another. The determining factor is how the organization intends to use the software and what the regulated process relies on it to do.</w:t>
      </w:r>
    </w:p>
    <w:p>
      <w:r>
        <w:t>FDA's February 2026 Computer Software Assurance guidance uses intended use as the first element of its risk framework for production and quality management system software. The guidance distinguishes software used directly as part of production or the quality management system from software used to support those activities. For practitioners, the practical lesson is straightforward: begin with the actual use in the process before deciding the level of assurance, testing, or documentation.</w:t>
      </w:r>
    </w:p>
    <w:p>
      <w:r>
        <w:t>An intended-use statement is not the same as a marketing description. It should not describe everything the application is capable of doing. It should describe the specific use the regulated organization relies on.</w:t>
      </w:r>
    </w:p>
    <w:p>
      <w:pPr>
        <w:pStyle w:val="Heading2"/>
      </w:pPr>
      <w:r>
        <w:t>Definition: Intended Use</w:t>
      </w:r>
    </w:p>
    <w:p>
      <w:r>
        <w:t>For this curriculum, intended use means the defined way the organization relies on the computerized system or software function to perform, support, control, record, calculate, transfer, or provide information for a regulated activity.</w:t>
      </w:r>
    </w:p>
    <w:tbl>
      <w:tblPr>
        <w:tblStyle w:val="TableGrid"/>
        <w:tblW w:type="auto" w:w="0"/>
        <w:jc w:val="center"/>
        <w:tblLook w:firstColumn="1" w:firstRow="1" w:lastColumn="0" w:lastRow="0" w:noHBand="0" w:noVBand="1" w:val="04A0"/>
      </w:tblPr>
      <w:tblGrid>
        <w:gridCol w:w="3360"/>
        <w:gridCol w:w="3360"/>
        <w:gridCol w:w="3360"/>
      </w:tblGrid>
      <w:tr>
        <w:tc>
          <w:tcPr>
            <w:tcW w:type="dxa" w:w="3360"/>
            <w:shd w:fill="EAF2F8"/>
          </w:tcPr>
          <w:p>
            <w:r>
              <w:rPr>
                <w:b/>
              </w:rPr>
              <w:t>Weak statement</w:t>
            </w:r>
          </w:p>
        </w:tc>
        <w:tc>
          <w:tcPr>
            <w:tcW w:type="dxa" w:w="3360"/>
            <w:shd w:fill="EAF2F8"/>
          </w:tcPr>
          <w:p>
            <w:r>
              <w:rPr>
                <w:b/>
              </w:rPr>
              <w:t>Why it is weak</w:t>
            </w:r>
          </w:p>
        </w:tc>
        <w:tc>
          <w:tcPr>
            <w:tcW w:type="dxa" w:w="3360"/>
            <w:shd w:fill="EAF2F8"/>
          </w:tcPr>
          <w:p>
            <w:r>
              <w:rPr>
                <w:b/>
              </w:rPr>
              <w:t>Improved intended-use statement</w:t>
            </w:r>
          </w:p>
        </w:tc>
      </w:tr>
      <w:tr>
        <w:tc>
          <w:tcPr>
            <w:tcW w:type="dxa" w:w="3360"/>
            <w:vAlign w:val="center"/>
          </w:tcPr>
          <w:p>
            <w:r>
              <w:t>The eQMS manages Quality processes.</w:t>
            </w:r>
          </w:p>
        </w:tc>
        <w:tc>
          <w:tcPr>
            <w:tcW w:type="dxa" w:w="3360"/>
            <w:vAlign w:val="center"/>
          </w:tcPr>
          <w:p>
            <w:r>
              <w:t>It does not identify the regulated activity, decision, record, or control.</w:t>
            </w:r>
          </w:p>
        </w:tc>
        <w:tc>
          <w:tcPr>
            <w:tcW w:type="dxa" w:w="3360"/>
            <w:vAlign w:val="center"/>
          </w:tcPr>
          <w:p>
            <w:r>
              <w:t>The eQMS creates, routes, reviews and approves CAPA records and prevents CAPA closure until required Quality approvals are complete.</w:t>
            </w:r>
          </w:p>
        </w:tc>
      </w:tr>
      <w:tr>
        <w:tc>
          <w:tcPr>
            <w:tcW w:type="dxa" w:w="3360"/>
            <w:vAlign w:val="center"/>
          </w:tcPr>
          <w:p>
            <w:r>
              <w:t>The LMS manages training.</w:t>
            </w:r>
          </w:p>
        </w:tc>
        <w:tc>
          <w:tcPr>
            <w:tcW w:type="dxa" w:w="3360"/>
            <w:vAlign w:val="center"/>
          </w:tcPr>
          <w:p>
            <w:r>
              <w:t>It does not explain what regulated decision depends on the training data.</w:t>
            </w:r>
          </w:p>
        </w:tc>
        <w:tc>
          <w:tcPr>
            <w:tcW w:type="dxa" w:w="3360"/>
            <w:vAlign w:val="center"/>
          </w:tcPr>
          <w:p>
            <w:r>
              <w:t>The LMS records required training and provides qualification status used to determine whether personnel are eligible to perform defined manufacturing activities.</w:t>
            </w:r>
          </w:p>
        </w:tc>
      </w:tr>
      <w:tr>
        <w:tc>
          <w:tcPr>
            <w:tcW w:type="dxa" w:w="3360"/>
            <w:vAlign w:val="center"/>
          </w:tcPr>
          <w:p>
            <w:r>
              <w:t>The spreadsheet analyzes data.</w:t>
            </w:r>
          </w:p>
        </w:tc>
        <w:tc>
          <w:tcPr>
            <w:tcW w:type="dxa" w:w="3360"/>
            <w:vAlign w:val="center"/>
          </w:tcPr>
          <w:p>
            <w:r>
              <w:t>The type of data and decision are unknown.</w:t>
            </w:r>
          </w:p>
        </w:tc>
        <w:tc>
          <w:tcPr>
            <w:tcW w:type="dxa" w:w="3360"/>
            <w:vAlign w:val="center"/>
          </w:tcPr>
          <w:p>
            <w:r>
              <w:t>The spreadsheet calculates the final assay result from approved laboratory inputs and compares the result with the approved acceptance limit.</w:t>
            </w:r>
          </w:p>
        </w:tc>
      </w:tr>
      <w:tr>
        <w:tc>
          <w:tcPr>
            <w:tcW w:type="dxa" w:w="3360"/>
            <w:vAlign w:val="center"/>
          </w:tcPr>
          <w:p>
            <w:r>
              <w:t>The dashboard provides reports.</w:t>
            </w:r>
          </w:p>
        </w:tc>
        <w:tc>
          <w:tcPr>
            <w:tcW w:type="dxa" w:w="3360"/>
            <w:vAlign w:val="center"/>
          </w:tcPr>
          <w:p>
            <w:r>
              <w:t>A report may be informational or may support a regulated decision.</w:t>
            </w:r>
          </w:p>
        </w:tc>
        <w:tc>
          <w:tcPr>
            <w:tcW w:type="dxa" w:w="3360"/>
            <w:vAlign w:val="center"/>
          </w:tcPr>
          <w:p>
            <w:r>
              <w:t>The dashboard displays complaint-aging data used by Quality management to identify overdue complaint investigations; the source system remains the official record.</w:t>
            </w:r>
          </w:p>
        </w:tc>
      </w:tr>
    </w:tbl>
    <w:p>
      <w:r>
        <w:drawing>
          <wp:inline xmlns:a="http://schemas.openxmlformats.org/drawingml/2006/main" xmlns:pic="http://schemas.openxmlformats.org/drawingml/2006/picture">
            <wp:extent cx="5943600" cy="5345367"/>
            <wp:docPr id="1" name="Picture 1"/>
            <wp:cNvGraphicFramePr>
              <a:graphicFrameLocks noChangeAspect="1"/>
            </wp:cNvGraphicFramePr>
            <a:graphic>
              <a:graphicData uri="http://schemas.openxmlformats.org/drawingml/2006/picture">
                <pic:pic>
                  <pic:nvPicPr>
                    <pic:cNvPr id="0" name="figure1.png"/>
                    <pic:cNvPicPr/>
                  </pic:nvPicPr>
                  <pic:blipFill>
                    <a:blip r:embed="rId11"/>
                    <a:stretch>
                      <a:fillRect/>
                    </a:stretch>
                  </pic:blipFill>
                  <pic:spPr>
                    <a:xfrm>
                      <a:off x="0" y="0"/>
                      <a:ext cx="5943600" cy="5345367"/>
                    </a:xfrm>
                    <a:prstGeom prst="rect"/>
                  </pic:spPr>
                </pic:pic>
              </a:graphicData>
            </a:graphic>
          </wp:inline>
        </w:drawing>
      </w:r>
    </w:p>
    <w:p>
      <w:pPr>
        <w:jc w:val="center"/>
      </w:pPr>
      <w:r>
        <w:rPr>
          <w:i/>
        </w:rPr>
        <w:t>Figure 1. From Business Description to Intended Use</w:t>
      </w:r>
    </w:p>
    <w:p>
      <w:pPr>
        <w:pStyle w:val="Heading1"/>
      </w:pPr>
      <w:r>
        <w:t>2.2 What Makes an Intended-Use Statement Useful?</w:t>
      </w:r>
    </w:p>
    <w:p>
      <w:r>
        <w:t>A useful intended-use statement usually answers five questions:</w:t>
      </w:r>
    </w:p>
    <w:p>
      <w:pPr>
        <w:pStyle w:val="ListNumber"/>
      </w:pPr>
      <w:r>
        <w:t>What regulated or business process is being performed?</w:t>
      </w:r>
    </w:p>
    <w:p>
      <w:pPr>
        <w:pStyle w:val="ListNumber"/>
      </w:pPr>
      <w:r>
        <w:t>What does the software do in that process?</w:t>
      </w:r>
    </w:p>
    <w:p>
      <w:pPr>
        <w:pStyle w:val="ListNumber"/>
      </w:pPr>
      <w:r>
        <w:t>What decision, calculation, control, transfer, or regulated record depends on the software?</w:t>
      </w:r>
    </w:p>
    <w:p>
      <w:pPr>
        <w:pStyle w:val="ListNumber"/>
      </w:pPr>
      <w:r>
        <w:t>Who uses the system or relies on the output?</w:t>
      </w:r>
    </w:p>
    <w:p>
      <w:pPr>
        <w:pStyle w:val="ListNumber"/>
      </w:pPr>
      <w:r>
        <w:t>What important interfaces or dependencies are part of the use?</w:t>
      </w:r>
    </w:p>
    <w:p>
      <w:r>
        <w:t>The statement does not need to contain every requirement. If it becomes a page-long functional specification, it is no longer serving its purpose. The intended use should establish scope and context. Detailed behavior belongs in requirements, configuration specifications, risk assessments, or other controlled records as appropriate.</w:t>
      </w:r>
    </w:p>
    <w:p>
      <w:pPr>
        <w:pStyle w:val="Heading2"/>
      </w:pPr>
      <w:r>
        <w:t>Common Mistake: Using the System Category as the Intended Use</w:t>
      </w:r>
    </w:p>
    <w:p>
      <w:r>
        <w:t>Statements such as 'This is an eQMS,' 'This is SaaS,' 'This is an ERP system,' or 'This is an AI tool' do not establish intended use. A system category may help describe the technology, but it does not tell the reviewer what regulated activity depends on the software.</w:t>
      </w:r>
    </w:p>
    <w:p>
      <w:r>
        <w:t>For example, the same collaboration platform could be used for informal project notes, controlled procedures, validation evidence, or complaint records. The software product is the same. The intended use, applicable controls, and GxP impact are not.</w:t>
      </w:r>
    </w:p>
    <w:p>
      <w:pPr>
        <w:pStyle w:val="Heading1"/>
      </w:pPr>
      <w:r>
        <w:t>2.3 GxP Assessment</w:t>
      </w:r>
    </w:p>
    <w:p>
      <w:r>
        <w:t>Once the intended use is understood, determine whether the software is used in a regulated process or supports regulated records, decisions, calculations, controls, or data. The GxP assessment should be based on the role of the software in the process, not simply on whether the application is widely used, expensive, cloud-based, or business critical.</w:t>
      </w:r>
    </w:p>
    <w:p>
      <w:r>
        <w:t>In medical-device production and quality management systems, FDA's current CSA guidance explains that software used directly or to support production or the quality management system is within the scope of the software validation requirement described in the guidance. The QMSR, effective February 2, 2026, incorporates ISO 13485:2016 by reference and is the current FDA quality-system framework for finished device manufacturers.</w:t>
      </w:r>
    </w:p>
    <w:p>
      <w:pPr>
        <w:pStyle w:val="Heading2"/>
      </w:pPr>
      <w:r>
        <w:t>Practical GxP Assessment Questions</w:t>
      </w:r>
    </w:p>
    <w:tbl>
      <w:tblPr>
        <w:tblStyle w:val="TableGrid"/>
        <w:tblW w:type="auto" w:w="0"/>
        <w:jc w:val="center"/>
        <w:tblLook w:firstColumn="1" w:firstRow="1" w:lastColumn="0" w:lastRow="0" w:noHBand="0" w:noVBand="1" w:val="04A0"/>
      </w:tblPr>
      <w:tblGrid>
        <w:gridCol w:w="3360"/>
        <w:gridCol w:w="3360"/>
        <w:gridCol w:w="3360"/>
      </w:tblGrid>
      <w:tr>
        <w:tc>
          <w:tcPr>
            <w:tcW w:type="dxa" w:w="3360"/>
            <w:shd w:fill="EAF2F8"/>
          </w:tcPr>
          <w:p>
            <w:r>
              <w:rPr>
                <w:b/>
              </w:rPr>
              <w:t>Assessment question</w:t>
            </w:r>
          </w:p>
        </w:tc>
        <w:tc>
          <w:tcPr>
            <w:tcW w:type="dxa" w:w="3360"/>
            <w:shd w:fill="EAF2F8"/>
          </w:tcPr>
          <w:p>
            <w:r>
              <w:rPr>
                <w:b/>
              </w:rPr>
              <w:t>Why it matters</w:t>
            </w:r>
          </w:p>
        </w:tc>
        <w:tc>
          <w:tcPr>
            <w:tcW w:type="dxa" w:w="3360"/>
            <w:shd w:fill="EAF2F8"/>
          </w:tcPr>
          <w:p>
            <w:r>
              <w:rPr>
                <w:b/>
              </w:rPr>
              <w:t>Example</w:t>
            </w:r>
          </w:p>
        </w:tc>
      </w:tr>
      <w:tr>
        <w:tc>
          <w:tcPr>
            <w:tcW w:type="dxa" w:w="3360"/>
            <w:vAlign w:val="center"/>
          </w:tcPr>
          <w:p>
            <w:r>
              <w:t>Does the software create, modify, process, maintain, or retrieve a regulated record?</w:t>
            </w:r>
          </w:p>
        </w:tc>
        <w:tc>
          <w:tcPr>
            <w:tcW w:type="dxa" w:w="3360"/>
            <w:vAlign w:val="center"/>
          </w:tcPr>
          <w:p>
            <w:r>
              <w:t>The reliability and integrity of the record may depend on the software.</w:t>
            </w:r>
          </w:p>
        </w:tc>
        <w:tc>
          <w:tcPr>
            <w:tcW w:type="dxa" w:w="3360"/>
            <w:vAlign w:val="center"/>
          </w:tcPr>
          <w:p>
            <w:r>
              <w:t>CAPA, complaint, training, calibration, laboratory, or batch record.</w:t>
            </w:r>
          </w:p>
        </w:tc>
      </w:tr>
      <w:tr>
        <w:tc>
          <w:tcPr>
            <w:tcW w:type="dxa" w:w="3360"/>
            <w:vAlign w:val="center"/>
          </w:tcPr>
          <w:p>
            <w:r>
              <w:t>Does the software perform or support a regulated decision?</w:t>
            </w:r>
          </w:p>
        </w:tc>
        <w:tc>
          <w:tcPr>
            <w:tcW w:type="dxa" w:w="3360"/>
            <w:vAlign w:val="center"/>
          </w:tcPr>
          <w:p>
            <w:r>
              <w:t>An incorrect result may affect the regulated activity.</w:t>
            </w:r>
          </w:p>
        </w:tc>
        <w:tc>
          <w:tcPr>
            <w:tcW w:type="dxa" w:w="3360"/>
            <w:vAlign w:val="center"/>
          </w:tcPr>
          <w:p>
            <w:r>
              <w:t>Product disposition, operator eligibility, complaint escalation.</w:t>
            </w:r>
          </w:p>
        </w:tc>
      </w:tr>
      <w:tr>
        <w:tc>
          <w:tcPr>
            <w:tcW w:type="dxa" w:w="3360"/>
            <w:vAlign w:val="center"/>
          </w:tcPr>
          <w:p>
            <w:r>
              <w:t>Does the software perform a calculation used in a regulated process?</w:t>
            </w:r>
          </w:p>
        </w:tc>
        <w:tc>
          <w:tcPr>
            <w:tcW w:type="dxa" w:w="3360"/>
            <w:vAlign w:val="center"/>
          </w:tcPr>
          <w:p>
            <w:r>
              <w:t>Calculation failure can directly affect a decision.</w:t>
            </w:r>
          </w:p>
        </w:tc>
        <w:tc>
          <w:tcPr>
            <w:tcW w:type="dxa" w:w="3360"/>
            <w:vAlign w:val="center"/>
          </w:tcPr>
          <w:p>
            <w:r>
              <w:t>Assay calculation, specification comparison, process parameter calculation.</w:t>
            </w:r>
          </w:p>
        </w:tc>
      </w:tr>
      <w:tr>
        <w:tc>
          <w:tcPr>
            <w:tcW w:type="dxa" w:w="3360"/>
            <w:vAlign w:val="center"/>
          </w:tcPr>
          <w:p>
            <w:r>
              <w:t>Does the software control or automate a regulated process?</w:t>
            </w:r>
          </w:p>
        </w:tc>
        <w:tc>
          <w:tcPr>
            <w:tcW w:type="dxa" w:w="3360"/>
            <w:vAlign w:val="center"/>
          </w:tcPr>
          <w:p>
            <w:r>
              <w:t>A failure can change the process outcome.</w:t>
            </w:r>
          </w:p>
        </w:tc>
        <w:tc>
          <w:tcPr>
            <w:tcW w:type="dxa" w:w="3360"/>
            <w:vAlign w:val="center"/>
          </w:tcPr>
          <w:p>
            <w:r>
              <w:t>MES routing, automated inspection, manufacturing equipment control.</w:t>
            </w:r>
          </w:p>
        </w:tc>
      </w:tr>
      <w:tr>
        <w:tc>
          <w:tcPr>
            <w:tcW w:type="dxa" w:w="3360"/>
            <w:vAlign w:val="center"/>
          </w:tcPr>
          <w:p>
            <w:r>
              <w:t>Does the software transfer GxP data between systems?</w:t>
            </w:r>
          </w:p>
        </w:tc>
        <w:tc>
          <w:tcPr>
            <w:tcW w:type="dxa" w:w="3360"/>
            <w:vAlign w:val="center"/>
          </w:tcPr>
          <w:p>
            <w:r>
              <w:t>Data may be lost, duplicated, altered, or mis-mapped.</w:t>
            </w:r>
          </w:p>
        </w:tc>
        <w:tc>
          <w:tcPr>
            <w:tcW w:type="dxa" w:w="3360"/>
            <w:vAlign w:val="center"/>
          </w:tcPr>
          <w:p>
            <w:r>
              <w:t>LIMS-to-ERP result transfer.</w:t>
            </w:r>
          </w:p>
        </w:tc>
      </w:tr>
      <w:tr>
        <w:tc>
          <w:tcPr>
            <w:tcW w:type="dxa" w:w="3360"/>
            <w:vAlign w:val="center"/>
          </w:tcPr>
          <w:p>
            <w:r>
              <w:t>Does the software provide administrative support only?</w:t>
            </w:r>
          </w:p>
        </w:tc>
        <w:tc>
          <w:tcPr>
            <w:tcW w:type="dxa" w:w="3360"/>
            <w:vAlign w:val="center"/>
          </w:tcPr>
          <w:p>
            <w:r>
              <w:t>The software may be important without directly affecting a GxP decision or record.</w:t>
            </w:r>
          </w:p>
        </w:tc>
        <w:tc>
          <w:tcPr>
            <w:tcW w:type="dxa" w:w="3360"/>
            <w:vAlign w:val="center"/>
          </w:tcPr>
          <w:p>
            <w:r>
              <w:t>Meeting scheduling, cafeteria ordering, general office collaboration.</w:t>
            </w:r>
          </w:p>
        </w:tc>
      </w:tr>
    </w:tbl>
    <w:p>
      <w:r>
        <w:drawing>
          <wp:inline xmlns:a="http://schemas.openxmlformats.org/drawingml/2006/main" xmlns:pic="http://schemas.openxmlformats.org/drawingml/2006/picture">
            <wp:extent cx="5943600" cy="5451958"/>
            <wp:docPr id="2" name="Picture 2"/>
            <wp:cNvGraphicFramePr>
              <a:graphicFrameLocks noChangeAspect="1"/>
            </wp:cNvGraphicFramePr>
            <a:graphic>
              <a:graphicData uri="http://schemas.openxmlformats.org/drawingml/2006/picture">
                <pic:pic>
                  <pic:nvPicPr>
                    <pic:cNvPr id="0" name="figure2.png"/>
                    <pic:cNvPicPr/>
                  </pic:nvPicPr>
                  <pic:blipFill>
                    <a:blip r:embed="rId12"/>
                    <a:stretch>
                      <a:fillRect/>
                    </a:stretch>
                  </pic:blipFill>
                  <pic:spPr>
                    <a:xfrm>
                      <a:off x="0" y="0"/>
                      <a:ext cx="5943600" cy="5451958"/>
                    </a:xfrm>
                    <a:prstGeom prst="rect"/>
                  </pic:spPr>
                </pic:pic>
              </a:graphicData>
            </a:graphic>
          </wp:inline>
        </w:drawing>
      </w:r>
    </w:p>
    <w:p>
      <w:pPr>
        <w:jc w:val="center"/>
      </w:pPr>
      <w:r>
        <w:rPr>
          <w:i/>
        </w:rPr>
        <w:t>Figure 2. GxP Assessment Decision Flow</w:t>
      </w:r>
    </w:p>
    <w:p>
      <w:pPr>
        <w:pStyle w:val="Heading1"/>
      </w:pPr>
      <w:r>
        <w:t>2.4 Business Critical Does Not Automatically Mean GxP</w:t>
      </w:r>
    </w:p>
    <w:p>
      <w:r>
        <w:t>Business criticality and GxP impact answer different questions. A system can be essential to company operations without affecting a regulated process. Conversely, a small utility or spreadsheet can have substantial GxP impact if a regulated decision depends on its output.</w:t>
      </w:r>
    </w:p>
    <w:tbl>
      <w:tblPr>
        <w:tblStyle w:val="TableGrid"/>
        <w:tblW w:type="auto" w:w="0"/>
        <w:jc w:val="center"/>
        <w:tblLook w:firstColumn="1" w:firstRow="1" w:lastColumn="0" w:lastRow="0" w:noHBand="0" w:noVBand="1" w:val="04A0"/>
      </w:tblPr>
      <w:tblGrid>
        <w:gridCol w:w="2520"/>
        <w:gridCol w:w="2520"/>
        <w:gridCol w:w="2520"/>
        <w:gridCol w:w="2520"/>
      </w:tblGrid>
      <w:tr>
        <w:tc>
          <w:tcPr>
            <w:tcW w:type="dxa" w:w="2520"/>
            <w:shd w:fill="EAF2F8"/>
          </w:tcPr>
          <w:p>
            <w:r>
              <w:rPr>
                <w:b/>
              </w:rPr>
              <w:t>System / use</w:t>
            </w:r>
          </w:p>
        </w:tc>
        <w:tc>
          <w:tcPr>
            <w:tcW w:type="dxa" w:w="2520"/>
            <w:shd w:fill="EAF2F8"/>
          </w:tcPr>
          <w:p>
            <w:r>
              <w:rPr>
                <w:b/>
              </w:rPr>
              <w:t>Business importance</w:t>
            </w:r>
          </w:p>
        </w:tc>
        <w:tc>
          <w:tcPr>
            <w:tcW w:type="dxa" w:w="2520"/>
            <w:shd w:fill="EAF2F8"/>
          </w:tcPr>
          <w:p>
            <w:r>
              <w:rPr>
                <w:b/>
              </w:rPr>
              <w:t>Possible GxP impact</w:t>
            </w:r>
          </w:p>
        </w:tc>
        <w:tc>
          <w:tcPr>
            <w:tcW w:type="dxa" w:w="2520"/>
            <w:shd w:fill="EAF2F8"/>
          </w:tcPr>
          <w:p>
            <w:r>
              <w:rPr>
                <w:b/>
              </w:rPr>
              <w:t>Reason</w:t>
            </w:r>
          </w:p>
        </w:tc>
      </w:tr>
      <w:tr>
        <w:tc>
          <w:tcPr>
            <w:tcW w:type="dxa" w:w="2520"/>
            <w:vAlign w:val="center"/>
          </w:tcPr>
          <w:p>
            <w:r>
              <w:t>Payroll platform</w:t>
            </w:r>
          </w:p>
        </w:tc>
        <w:tc>
          <w:tcPr>
            <w:tcW w:type="dxa" w:w="2520"/>
            <w:vAlign w:val="center"/>
          </w:tcPr>
          <w:p>
            <w:r>
              <w:t>High</w:t>
            </w:r>
          </w:p>
        </w:tc>
        <w:tc>
          <w:tcPr>
            <w:tcW w:type="dxa" w:w="2520"/>
            <w:vAlign w:val="center"/>
          </w:tcPr>
          <w:p>
            <w:r>
              <w:t>Usually low for product-quality decisions</w:t>
            </w:r>
          </w:p>
        </w:tc>
        <w:tc>
          <w:tcPr>
            <w:tcW w:type="dxa" w:w="2520"/>
            <w:vAlign w:val="center"/>
          </w:tcPr>
          <w:p>
            <w:r>
              <w:t>Failure affects employees and business operations but normally not a regulated product decision.</w:t>
            </w:r>
          </w:p>
        </w:tc>
      </w:tr>
      <w:tr>
        <w:tc>
          <w:tcPr>
            <w:tcW w:type="dxa" w:w="2520"/>
            <w:vAlign w:val="center"/>
          </w:tcPr>
          <w:p>
            <w:r>
              <w:t>Spreadsheet calculating product acceptance</w:t>
            </w:r>
          </w:p>
        </w:tc>
        <w:tc>
          <w:tcPr>
            <w:tcW w:type="dxa" w:w="2520"/>
            <w:vAlign w:val="center"/>
          </w:tcPr>
          <w:p>
            <w:r>
              <w:t>Low to moderate</w:t>
            </w:r>
          </w:p>
        </w:tc>
        <w:tc>
          <w:tcPr>
            <w:tcW w:type="dxa" w:w="2520"/>
            <w:vAlign w:val="center"/>
          </w:tcPr>
          <w:p>
            <w:r>
              <w:t>Potentially high</w:t>
            </w:r>
          </w:p>
        </w:tc>
        <w:tc>
          <w:tcPr>
            <w:tcW w:type="dxa" w:w="2520"/>
            <w:vAlign w:val="center"/>
          </w:tcPr>
          <w:p>
            <w:r>
              <w:t>An incorrect calculation could lead to an incorrect acceptance decision.</w:t>
            </w:r>
          </w:p>
        </w:tc>
      </w:tr>
      <w:tr>
        <w:tc>
          <w:tcPr>
            <w:tcW w:type="dxa" w:w="2520"/>
            <w:vAlign w:val="center"/>
          </w:tcPr>
          <w:p>
            <w:r>
              <w:t>eQMS CAPA approval workflow</w:t>
            </w:r>
          </w:p>
        </w:tc>
        <w:tc>
          <w:tcPr>
            <w:tcW w:type="dxa" w:w="2520"/>
            <w:vAlign w:val="center"/>
          </w:tcPr>
          <w:p>
            <w:r>
              <w:t>High</w:t>
            </w:r>
          </w:p>
        </w:tc>
        <w:tc>
          <w:tcPr>
            <w:tcW w:type="dxa" w:w="2520"/>
            <w:vAlign w:val="center"/>
          </w:tcPr>
          <w:p>
            <w:r>
              <w:t>High</w:t>
            </w:r>
          </w:p>
        </w:tc>
        <w:tc>
          <w:tcPr>
            <w:tcW w:type="dxa" w:w="2520"/>
            <w:vAlign w:val="center"/>
          </w:tcPr>
          <w:p>
            <w:r>
              <w:t>Failure could bypass required Quality approval.</w:t>
            </w:r>
          </w:p>
        </w:tc>
      </w:tr>
      <w:tr>
        <w:tc>
          <w:tcPr>
            <w:tcW w:type="dxa" w:w="2520"/>
            <w:vAlign w:val="center"/>
          </w:tcPr>
          <w:p>
            <w:r>
              <w:t>Management dashboard using copied Quality data</w:t>
            </w:r>
          </w:p>
        </w:tc>
        <w:tc>
          <w:tcPr>
            <w:tcW w:type="dxa" w:w="2520"/>
            <w:vAlign w:val="center"/>
          </w:tcPr>
          <w:p>
            <w:r>
              <w:t>Moderate</w:t>
            </w:r>
          </w:p>
        </w:tc>
        <w:tc>
          <w:tcPr>
            <w:tcW w:type="dxa" w:w="2520"/>
            <w:vAlign w:val="center"/>
          </w:tcPr>
          <w:p>
            <w:r>
              <w:t>Depends on use</w:t>
            </w:r>
          </w:p>
        </w:tc>
        <w:tc>
          <w:tcPr>
            <w:tcW w:type="dxa" w:w="2520"/>
            <w:vAlign w:val="center"/>
          </w:tcPr>
          <w:p>
            <w:r>
              <w:t>If informational only, impact may be lower; if used as the sole basis for regulated decisions, assessment changes.</w:t>
            </w:r>
          </w:p>
        </w:tc>
      </w:tr>
      <w:tr>
        <w:tc>
          <w:tcPr>
            <w:tcW w:type="dxa" w:w="2520"/>
            <w:vAlign w:val="center"/>
          </w:tcPr>
          <w:p>
            <w:r>
              <w:t>Training system feeding MES operator eligibility</w:t>
            </w:r>
          </w:p>
        </w:tc>
        <w:tc>
          <w:tcPr>
            <w:tcW w:type="dxa" w:w="2520"/>
            <w:vAlign w:val="center"/>
          </w:tcPr>
          <w:p>
            <w:r>
              <w:t>High</w:t>
            </w:r>
          </w:p>
        </w:tc>
        <w:tc>
          <w:tcPr>
            <w:tcW w:type="dxa" w:w="2520"/>
            <w:vAlign w:val="center"/>
          </w:tcPr>
          <w:p>
            <w:r>
              <w:t>High</w:t>
            </w:r>
          </w:p>
        </w:tc>
        <w:tc>
          <w:tcPr>
            <w:tcW w:type="dxa" w:w="2520"/>
            <w:vAlign w:val="center"/>
          </w:tcPr>
          <w:p>
            <w:r>
              <w:t>Incorrect qualification status could allow unqualified personnel to perform regulated work.</w:t>
            </w:r>
          </w:p>
        </w:tc>
      </w:tr>
    </w:tbl>
    <w:p>
      <w:r>
        <w:t>The goal is not to label every system 'high,' 'medium,' or 'low' at this stage. The GxP assessment determines whether the system and specific functions support regulated use. Functional risk assessment then evaluates what can fail and how much additional assurance is appropriate.</w:t>
      </w:r>
    </w:p>
    <w:p>
      <w:pPr>
        <w:pStyle w:val="Heading1"/>
      </w:pPr>
      <w:r>
        <w:t>2.5 Identify GxP Functions</w:t>
      </w:r>
    </w:p>
    <w:p>
      <w:r>
        <w:t>After determining that the system supports a regulated process, identify the functions that matter to that use. This is more useful than assigning one broad risk classification to the entire application.</w:t>
      </w:r>
    </w:p>
    <w:p>
      <w:r>
        <w:t>Consider an eQMS containing CAPA approval, complaint intake, dashboards, reminder emails, user-profile preferences, and administrative reports. The system may be GxP, but the failure consequences of these functions are not identical. The next step is to identify which functions can materially affect the regulated process.</w:t>
      </w:r>
    </w:p>
    <w:tbl>
      <w:tblPr>
        <w:tblStyle w:val="TableGrid"/>
        <w:tblW w:type="auto" w:w="0"/>
        <w:jc w:val="center"/>
        <w:tblLook w:firstColumn="1" w:firstRow="1" w:lastColumn="0" w:lastRow="0" w:noHBand="0" w:noVBand="1" w:val="04A0"/>
      </w:tblPr>
      <w:tblGrid>
        <w:gridCol w:w="3360"/>
        <w:gridCol w:w="3360"/>
        <w:gridCol w:w="3360"/>
      </w:tblGrid>
      <w:tr>
        <w:tc>
          <w:tcPr>
            <w:tcW w:type="dxa" w:w="3360"/>
            <w:shd w:fill="EAF2F8"/>
          </w:tcPr>
          <w:p>
            <w:r>
              <w:rPr>
                <w:b/>
              </w:rPr>
              <w:t>Function</w:t>
            </w:r>
          </w:p>
        </w:tc>
        <w:tc>
          <w:tcPr>
            <w:tcW w:type="dxa" w:w="3360"/>
            <w:shd w:fill="EAF2F8"/>
          </w:tcPr>
          <w:p>
            <w:r>
              <w:rPr>
                <w:b/>
              </w:rPr>
              <w:t>How it is used</w:t>
            </w:r>
          </w:p>
        </w:tc>
        <w:tc>
          <w:tcPr>
            <w:tcW w:type="dxa" w:w="3360"/>
            <w:shd w:fill="EAF2F8"/>
          </w:tcPr>
          <w:p>
            <w:r>
              <w:rPr>
                <w:b/>
              </w:rPr>
              <w:t>GxP relevance</w:t>
            </w:r>
          </w:p>
        </w:tc>
      </w:tr>
      <w:tr>
        <w:tc>
          <w:tcPr>
            <w:tcW w:type="dxa" w:w="3360"/>
            <w:vAlign w:val="center"/>
          </w:tcPr>
          <w:p>
            <w:r>
              <w:t>CAPA approval routing</w:t>
            </w:r>
          </w:p>
        </w:tc>
        <w:tc>
          <w:tcPr>
            <w:tcW w:type="dxa" w:w="3360"/>
            <w:vAlign w:val="center"/>
          </w:tcPr>
          <w:p>
            <w:r>
              <w:t>Controls required Quality review before closure</w:t>
            </w:r>
          </w:p>
        </w:tc>
        <w:tc>
          <w:tcPr>
            <w:tcW w:type="dxa" w:w="3360"/>
            <w:vAlign w:val="center"/>
          </w:tcPr>
          <w:p>
            <w:r>
              <w:t>Directly relevant</w:t>
            </w:r>
          </w:p>
        </w:tc>
      </w:tr>
      <w:tr>
        <w:tc>
          <w:tcPr>
            <w:tcW w:type="dxa" w:w="3360"/>
            <w:vAlign w:val="center"/>
          </w:tcPr>
          <w:p>
            <w:r>
              <w:t>Electronic signature</w:t>
            </w:r>
          </w:p>
        </w:tc>
        <w:tc>
          <w:tcPr>
            <w:tcW w:type="dxa" w:w="3360"/>
            <w:vAlign w:val="center"/>
          </w:tcPr>
          <w:p>
            <w:r>
              <w:t>Records approval identity, meaning, and date/time</w:t>
            </w:r>
          </w:p>
        </w:tc>
        <w:tc>
          <w:tcPr>
            <w:tcW w:type="dxa" w:w="3360"/>
            <w:vAlign w:val="center"/>
          </w:tcPr>
          <w:p>
            <w:r>
              <w:t>Directly relevant</w:t>
            </w:r>
          </w:p>
        </w:tc>
      </w:tr>
      <w:tr>
        <w:tc>
          <w:tcPr>
            <w:tcW w:type="dxa" w:w="3360"/>
            <w:vAlign w:val="center"/>
          </w:tcPr>
          <w:p>
            <w:r>
              <w:t>Reminder email</w:t>
            </w:r>
          </w:p>
        </w:tc>
        <w:tc>
          <w:tcPr>
            <w:tcW w:type="dxa" w:w="3360"/>
            <w:vAlign w:val="center"/>
          </w:tcPr>
          <w:p>
            <w:r>
              <w:t>Prompts a user to complete an overdue task</w:t>
            </w:r>
          </w:p>
        </w:tc>
        <w:tc>
          <w:tcPr>
            <w:tcW w:type="dxa" w:w="3360"/>
            <w:vAlign w:val="center"/>
          </w:tcPr>
          <w:p>
            <w:r>
              <w:t>Supporting; impact depends on other controls</w:t>
            </w:r>
          </w:p>
        </w:tc>
      </w:tr>
      <w:tr>
        <w:tc>
          <w:tcPr>
            <w:tcW w:type="dxa" w:w="3360"/>
            <w:vAlign w:val="center"/>
          </w:tcPr>
          <w:p>
            <w:r>
              <w:t>Dashboard color theme</w:t>
            </w:r>
          </w:p>
        </w:tc>
        <w:tc>
          <w:tcPr>
            <w:tcW w:type="dxa" w:w="3360"/>
            <w:vAlign w:val="center"/>
          </w:tcPr>
          <w:p>
            <w:r>
              <w:t>Changes visual appearance only</w:t>
            </w:r>
          </w:p>
        </w:tc>
        <w:tc>
          <w:tcPr>
            <w:tcW w:type="dxa" w:w="3360"/>
            <w:vAlign w:val="center"/>
          </w:tcPr>
          <w:p>
            <w:r>
              <w:t>Usually not GxP-relevant unless color itself drives a required decision</w:t>
            </w:r>
          </w:p>
        </w:tc>
      </w:tr>
      <w:tr>
        <w:tc>
          <w:tcPr>
            <w:tcW w:type="dxa" w:w="3360"/>
            <w:vAlign w:val="center"/>
          </w:tcPr>
          <w:p>
            <w:r>
              <w:t>Audit trail</w:t>
            </w:r>
          </w:p>
        </w:tc>
        <w:tc>
          <w:tcPr>
            <w:tcW w:type="dxa" w:w="3360"/>
            <w:vAlign w:val="center"/>
          </w:tcPr>
          <w:p>
            <w:r>
              <w:t>Maintains history of relevant record changes</w:t>
            </w:r>
          </w:p>
        </w:tc>
        <w:tc>
          <w:tcPr>
            <w:tcW w:type="dxa" w:w="3360"/>
            <w:vAlign w:val="center"/>
          </w:tcPr>
          <w:p>
            <w:r>
              <w:t>Directly relevant where relied upon for record integrity</w:t>
            </w:r>
          </w:p>
        </w:tc>
      </w:tr>
      <w:tr>
        <w:tc>
          <w:tcPr>
            <w:tcW w:type="dxa" w:w="3360"/>
            <w:vAlign w:val="center"/>
          </w:tcPr>
          <w:p>
            <w:r>
              <w:t>User-profile picture</w:t>
            </w:r>
          </w:p>
        </w:tc>
        <w:tc>
          <w:tcPr>
            <w:tcW w:type="dxa" w:w="3360"/>
            <w:vAlign w:val="center"/>
          </w:tcPr>
          <w:p>
            <w:r>
              <w:t>Personal display preference</w:t>
            </w:r>
          </w:p>
        </w:tc>
        <w:tc>
          <w:tcPr>
            <w:tcW w:type="dxa" w:w="3360"/>
            <w:vAlign w:val="center"/>
          </w:tcPr>
          <w:p>
            <w:r>
              <w:t>Not normally GxP-relevant</w:t>
            </w:r>
          </w:p>
        </w:tc>
      </w:tr>
    </w:tbl>
    <w:p>
      <w:pPr>
        <w:pStyle w:val="Heading2"/>
      </w:pPr>
      <w:r>
        <w:t>Common Mistake: Treating All Functions the Same</w:t>
      </w:r>
    </w:p>
    <w:p>
      <w:r>
        <w:t>If the entire application receives one risk label, teams may over-test low-impact features while failing to challenge the functions that can actually affect the regulated process. CSA does not mean ignoring system-level dependencies. It means understanding the system well enough to focus assurance activities where failures matter while preserving end-to-end coverage.</w:t>
      </w:r>
    </w:p>
    <w:p>
      <w:pPr>
        <w:pStyle w:val="Heading1"/>
      </w:pPr>
      <w:r>
        <w:t>2.6 Define the Assessment Boundary</w:t>
      </w:r>
    </w:p>
    <w:p>
      <w:r>
        <w:t>A correct GxP assessment can still fail if the system boundary is too narrow. The boundary should include the software, interfaces, identity services, data sources, downstream systems, and manual controls that can change the regulated outcome.</w:t>
      </w:r>
    </w:p>
    <w:p>
      <w:r>
        <w:t>A common example is training eligibility. An organization may validate the learning management system and confirm that training completions are recorded correctly. However, if manufacturing eligibility is determined in MES using training status received through an interface, the regulated outcome depends on more than the LMS alone.</w:t>
      </w:r>
    </w:p>
    <w:p>
      <w:r>
        <w:drawing>
          <wp:inline xmlns:a="http://schemas.openxmlformats.org/drawingml/2006/main" xmlns:pic="http://schemas.openxmlformats.org/drawingml/2006/picture">
            <wp:extent cx="5943600" cy="4231980"/>
            <wp:docPr id="3" name="Picture 3"/>
            <wp:cNvGraphicFramePr>
              <a:graphicFrameLocks noChangeAspect="1"/>
            </wp:cNvGraphicFramePr>
            <a:graphic>
              <a:graphicData uri="http://schemas.openxmlformats.org/drawingml/2006/picture">
                <pic:pic>
                  <pic:nvPicPr>
                    <pic:cNvPr id="0" name="figure3.png"/>
                    <pic:cNvPicPr/>
                  </pic:nvPicPr>
                  <pic:blipFill>
                    <a:blip r:embed="rId13"/>
                    <a:stretch>
                      <a:fillRect/>
                    </a:stretch>
                  </pic:blipFill>
                  <pic:spPr>
                    <a:xfrm>
                      <a:off x="0" y="0"/>
                      <a:ext cx="5943600" cy="4231980"/>
                    </a:xfrm>
                    <a:prstGeom prst="rect"/>
                  </pic:spPr>
                </pic:pic>
              </a:graphicData>
            </a:graphic>
          </wp:inline>
        </w:drawing>
      </w:r>
    </w:p>
    <w:p>
      <w:pPr>
        <w:jc w:val="center"/>
      </w:pPr>
      <w:r>
        <w:rPr>
          <w:i/>
        </w:rPr>
        <w:t>Figure 3. Example System Boundary: Training Eligibility</w:t>
      </w:r>
    </w:p>
    <w:p>
      <w:pPr>
        <w:pStyle w:val="Heading2"/>
      </w:pPr>
      <w:r>
        <w:t>Boundary Questions</w:t>
      </w:r>
    </w:p>
    <w:p>
      <w:pPr>
        <w:pStyle w:val="ListBullet"/>
      </w:pPr>
      <w:r>
        <w:t>Where does the regulated data originate?</w:t>
      </w:r>
    </w:p>
    <w:p>
      <w:pPr>
        <w:pStyle w:val="ListBullet"/>
      </w:pPr>
      <w:r>
        <w:t>Which system performs the important calculation, rule, approval, or decision?</w:t>
      </w:r>
    </w:p>
    <w:p>
      <w:pPr>
        <w:pStyle w:val="ListBullet"/>
      </w:pPr>
      <w:r>
        <w:t>Which interfaces move or transform the data?</w:t>
      </w:r>
    </w:p>
    <w:p>
      <w:pPr>
        <w:pStyle w:val="ListBullet"/>
      </w:pPr>
      <w:r>
        <w:t>Does another service control identity, authentication, roles, or permissions?</w:t>
      </w:r>
    </w:p>
    <w:p>
      <w:pPr>
        <w:pStyle w:val="ListBullet"/>
      </w:pPr>
      <w:r>
        <w:t>Where is the official regulated record maintained?</w:t>
      </w:r>
    </w:p>
    <w:p>
      <w:pPr>
        <w:pStyle w:val="ListBullet"/>
      </w:pPr>
      <w:r>
        <w:t>What downstream process depends on the result?</w:t>
      </w:r>
    </w:p>
    <w:p>
      <w:pPr>
        <w:pStyle w:val="ListBullet"/>
      </w:pPr>
      <w:r>
        <w:t>What manual control could detect a software failure before impact?</w:t>
      </w:r>
    </w:p>
    <w:p>
      <w:pPr>
        <w:pStyle w:val="Heading1"/>
      </w:pPr>
      <w:r>
        <w:t>2.7 GxP Assessment and Part 11 Are Related but Different</w:t>
      </w:r>
    </w:p>
    <w:p>
      <w:r>
        <w:t>GxP assessment asks whether and how the software supports a regulated process or record. Part 11 assessment asks whether applicable electronic-record and electronic-signature requirements apply to the defined use. Do not treat these as the same decision.</w:t>
      </w:r>
    </w:p>
    <w:p>
      <w:r>
        <w:t>A system can be GxP-relevant without using electronic signatures. A system can also contain electronic records that require further Part 11 assessment even if some functions are lower risk. The appropriate sequence is to define intended use, establish the GxP role, identify relevant electronic records or signatures, and then determine applicable controls.</w:t>
      </w:r>
    </w:p>
    <w:p>
      <w:pPr>
        <w:pStyle w:val="Heading1"/>
      </w:pPr>
      <w:r>
        <w:t>2.8 Worked Case 1: Training Eligibility</w:t>
      </w:r>
    </w:p>
    <w:p>
      <w:r>
        <w:t>Situation</w:t>
      </w:r>
    </w:p>
    <w:p>
      <w:r>
        <w:t>A medical-device manufacturer uses a cloud LMS to assign controlled training. MES prevents an operator from starting a manufacturing step unless the operator is qualified for the required role. Qualification status is determined from LMS completion data and enterprise role information.</w:t>
      </w:r>
    </w:p>
    <w:p>
      <w:r>
        <w:t>Weak intended use</w:t>
      </w:r>
    </w:p>
    <w:p>
      <w:r>
        <w:t>The LMS manages employee training.</w:t>
      </w:r>
    </w:p>
    <w:p>
      <w:r>
        <w:t>Improved intended use</w:t>
      </w:r>
    </w:p>
    <w:p>
      <w:r>
        <w:t>The LMS records completion of required controlled training and provides training status used with role information to determine whether manufacturing personnel are eligible to perform defined operations in MES.</w:t>
      </w:r>
    </w:p>
    <w:p>
      <w:r>
        <w:t>GxP assessment</w:t>
      </w:r>
    </w:p>
    <w:p>
      <w:r>
        <w:t>The use is GxP-relevant because incorrect training status can affect whether personnel are allowed to perform regulated manufacturing activities.</w:t>
      </w:r>
    </w:p>
    <w:p>
      <w:r>
        <w:t>Functions and dependencies</w:t>
      </w:r>
    </w:p>
    <w:tbl>
      <w:tblPr>
        <w:tblStyle w:val="TableGrid"/>
        <w:tblW w:type="auto" w:w="0"/>
        <w:jc w:val="center"/>
        <w:tblLook w:firstColumn="1" w:firstRow="1" w:lastColumn="0" w:lastRow="0" w:noHBand="0" w:noVBand="1" w:val="04A0"/>
      </w:tblPr>
      <w:tblGrid>
        <w:gridCol w:w="3360"/>
        <w:gridCol w:w="3360"/>
        <w:gridCol w:w="3360"/>
      </w:tblGrid>
      <w:tr>
        <w:tc>
          <w:tcPr>
            <w:tcW w:type="dxa" w:w="3360"/>
            <w:shd w:fill="EAF2F8"/>
          </w:tcPr>
          <w:p>
            <w:r>
              <w:rPr>
                <w:b/>
              </w:rPr>
              <w:t>Component / function</w:t>
            </w:r>
          </w:p>
        </w:tc>
        <w:tc>
          <w:tcPr>
            <w:tcW w:type="dxa" w:w="3360"/>
            <w:shd w:fill="EAF2F8"/>
          </w:tcPr>
          <w:p>
            <w:r>
              <w:rPr>
                <w:b/>
              </w:rPr>
              <w:t>Role in the process</w:t>
            </w:r>
          </w:p>
        </w:tc>
        <w:tc>
          <w:tcPr>
            <w:tcW w:type="dxa" w:w="3360"/>
            <w:shd w:fill="EAF2F8"/>
          </w:tcPr>
          <w:p>
            <w:r>
              <w:rPr>
                <w:b/>
              </w:rPr>
              <w:t>Assessment consideration</w:t>
            </w:r>
          </w:p>
        </w:tc>
      </w:tr>
      <w:tr>
        <w:tc>
          <w:tcPr>
            <w:tcW w:type="dxa" w:w="3360"/>
            <w:vAlign w:val="center"/>
          </w:tcPr>
          <w:p>
            <w:r>
              <w:t>LMS training completion</w:t>
            </w:r>
          </w:p>
        </w:tc>
        <w:tc>
          <w:tcPr>
            <w:tcW w:type="dxa" w:w="3360"/>
            <w:vAlign w:val="center"/>
          </w:tcPr>
          <w:p>
            <w:r>
              <w:t>Records completed required training</w:t>
            </w:r>
          </w:p>
        </w:tc>
        <w:tc>
          <w:tcPr>
            <w:tcW w:type="dxa" w:w="3360"/>
            <w:vAlign w:val="center"/>
          </w:tcPr>
          <w:p>
            <w:r>
              <w:t>Incorrect or missing completion can change qualification status.</w:t>
            </w:r>
          </w:p>
        </w:tc>
      </w:tr>
      <w:tr>
        <w:tc>
          <w:tcPr>
            <w:tcW w:type="dxa" w:w="3360"/>
            <w:vAlign w:val="center"/>
          </w:tcPr>
          <w:p>
            <w:r>
              <w:t>Qualification logic</w:t>
            </w:r>
          </w:p>
        </w:tc>
        <w:tc>
          <w:tcPr>
            <w:tcW w:type="dxa" w:w="3360"/>
            <w:vAlign w:val="center"/>
          </w:tcPr>
          <w:p>
            <w:r>
              <w:t>Combines curriculum and role requirements</w:t>
            </w:r>
          </w:p>
        </w:tc>
        <w:tc>
          <w:tcPr>
            <w:tcW w:type="dxa" w:w="3360"/>
            <w:vAlign w:val="center"/>
          </w:tcPr>
          <w:p>
            <w:r>
              <w:t>Incorrect rules can show an unqualified person as qualified.</w:t>
            </w:r>
          </w:p>
        </w:tc>
      </w:tr>
      <w:tr>
        <w:tc>
          <w:tcPr>
            <w:tcW w:type="dxa" w:w="3360"/>
            <w:vAlign w:val="center"/>
          </w:tcPr>
          <w:p>
            <w:r>
              <w:t>Identity / role mapping</w:t>
            </w:r>
          </w:p>
        </w:tc>
        <w:tc>
          <w:tcPr>
            <w:tcW w:type="dxa" w:w="3360"/>
            <w:vAlign w:val="center"/>
          </w:tcPr>
          <w:p>
            <w:r>
              <w:t>Associates the person with the correct role</w:t>
            </w:r>
          </w:p>
        </w:tc>
        <w:tc>
          <w:tcPr>
            <w:tcW w:type="dxa" w:w="3360"/>
            <w:vAlign w:val="center"/>
          </w:tcPr>
          <w:p>
            <w:r>
              <w:t>Wrong role mapping can assign the wrong curriculum.</w:t>
            </w:r>
          </w:p>
        </w:tc>
      </w:tr>
      <w:tr>
        <w:tc>
          <w:tcPr>
            <w:tcW w:type="dxa" w:w="3360"/>
            <w:vAlign w:val="center"/>
          </w:tcPr>
          <w:p>
            <w:r>
              <w:t>LMS-to-MES interface</w:t>
            </w:r>
          </w:p>
        </w:tc>
        <w:tc>
          <w:tcPr>
            <w:tcW w:type="dxa" w:w="3360"/>
            <w:vAlign w:val="center"/>
          </w:tcPr>
          <w:p>
            <w:r>
              <w:t>Transfers eligibility status</w:t>
            </w:r>
          </w:p>
        </w:tc>
        <w:tc>
          <w:tcPr>
            <w:tcW w:type="dxa" w:w="3360"/>
            <w:vAlign w:val="center"/>
          </w:tcPr>
          <w:p>
            <w:r>
              <w:t>Missing, stale, or incorrect data can affect production access.</w:t>
            </w:r>
          </w:p>
        </w:tc>
      </w:tr>
      <w:tr>
        <w:tc>
          <w:tcPr>
            <w:tcW w:type="dxa" w:w="3360"/>
            <w:vAlign w:val="center"/>
          </w:tcPr>
          <w:p>
            <w:r>
              <w:t>MES interlock</w:t>
            </w:r>
          </w:p>
        </w:tc>
        <w:tc>
          <w:tcPr>
            <w:tcW w:type="dxa" w:w="3360"/>
            <w:vAlign w:val="center"/>
          </w:tcPr>
          <w:p>
            <w:r>
              <w:t>Prevents ineligible execution</w:t>
            </w:r>
          </w:p>
        </w:tc>
        <w:tc>
          <w:tcPr>
            <w:tcW w:type="dxa" w:w="3360"/>
            <w:vAlign w:val="center"/>
          </w:tcPr>
          <w:p>
            <w:r>
              <w:t>Failure can allow regulated work by unqualified personnel.</w:t>
            </w:r>
          </w:p>
        </w:tc>
      </w:tr>
    </w:tbl>
    <w:p>
      <w:r>
        <w:t>Conclusion</w:t>
      </w:r>
    </w:p>
    <w:p>
      <w:r>
        <w:t>The validation scope should not stop at the LMS user interface. The intended use depends on the end-to-end qualification decision and therefore includes the relevant role mapping, interface, and MES eligibility control.</w:t>
      </w:r>
    </w:p>
    <w:p>
      <w:pPr>
        <w:pStyle w:val="Heading1"/>
      </w:pPr>
      <w:r>
        <w:t>2.9 Worked Case 2: Management Dashboard</w:t>
      </w:r>
    </w:p>
    <w:p>
      <w:r>
        <w:t>Situation</w:t>
      </w:r>
    </w:p>
    <w:p>
      <w:r>
        <w:t>A Quality dashboard receives complaint data from the eQMS and displays aging trends. The eQMS remains the official complaint record. Quality leadership uses the dashboard to identify workload and overdue investigations, but investigators review and update complaints in the eQMS.</w:t>
      </w:r>
    </w:p>
    <w:p>
      <w:r>
        <w:t>Assessment</w:t>
      </w:r>
    </w:p>
    <w:p>
      <w:r>
        <w:t>The dashboard clearly supports a Quality process, but the extent of validation depends on the intended use. If leadership uses it as a convenience view and verifies critical complaint decisions in the eQMS, the risk profile differs from a dashboard that automatically determines complaint escalation or regulatory reporting.</w:t>
      </w:r>
    </w:p>
    <w:p>
      <w:r>
        <w:t>Questions that change the conclusion</w:t>
      </w:r>
    </w:p>
    <w:p>
      <w:pPr>
        <w:pStyle w:val="ListBullet"/>
      </w:pPr>
      <w:r>
        <w:t>Is the dashboard the sole source used to determine whether an investigation is overdue?</w:t>
      </w:r>
    </w:p>
    <w:p>
      <w:pPr>
        <w:pStyle w:val="ListBullet"/>
      </w:pPr>
      <w:r>
        <w:t>Does it transform or recalculate complaint due dates?</w:t>
      </w:r>
    </w:p>
    <w:p>
      <w:pPr>
        <w:pStyle w:val="ListBullet"/>
      </w:pPr>
      <w:r>
        <w:t>Can users drill back to the source record?</w:t>
      </w:r>
    </w:p>
    <w:p>
      <w:pPr>
        <w:pStyle w:val="ListBullet"/>
      </w:pPr>
      <w:r>
        <w:t>Are there controls that detect missing or stale data?</w:t>
      </w:r>
    </w:p>
    <w:p>
      <w:pPr>
        <w:pStyle w:val="ListBullet"/>
      </w:pPr>
      <w:r>
        <w:t>Does any automated action occur based on dashboard status?</w:t>
      </w:r>
    </w:p>
    <w:p>
      <w:r>
        <w:t>The example illustrates why GxP assessment should not rely on the label 'dashboard.' The defined use and consequence of failure determine what must be assured.</w:t>
      </w:r>
    </w:p>
    <w:p>
      <w:pPr>
        <w:pStyle w:val="Heading1"/>
      </w:pPr>
      <w:r>
        <w:t>2.10 Documentation Expectations</w:t>
      </w:r>
    </w:p>
    <w:p>
      <w:r>
        <w:t>The GxP assessment should be documented sufficiently to show the basis for the conclusion. The exact format may depend on the organization's approved procedures. A practical record should normally identify the system or service, intended use, regulated process, GxP relevance, important functions, key dependencies, Part 11 considerations where applicable, assessment rationale, and reviewer/approval information required by procedure.</w:t>
      </w:r>
    </w:p>
    <w:tbl>
      <w:tblPr>
        <w:tblStyle w:val="TableGrid"/>
        <w:tblW w:type="auto" w:w="0"/>
        <w:jc w:val="center"/>
        <w:tblLook w:firstColumn="1" w:firstRow="1" w:lastColumn="0" w:lastRow="0" w:noHBand="0" w:noVBand="1" w:val="04A0"/>
      </w:tblPr>
      <w:tblGrid>
        <w:gridCol w:w="5040"/>
        <w:gridCol w:w="5040"/>
      </w:tblGrid>
      <w:tr>
        <w:tc>
          <w:tcPr>
            <w:tcW w:type="dxa" w:w="5040"/>
            <w:shd w:fill="EAF2F8"/>
          </w:tcPr>
          <w:p>
            <w:r>
              <w:rPr>
                <w:b/>
              </w:rPr>
              <w:t>Field</w:t>
            </w:r>
          </w:p>
        </w:tc>
        <w:tc>
          <w:tcPr>
            <w:tcW w:type="dxa" w:w="5040"/>
            <w:shd w:fill="EAF2F8"/>
          </w:tcPr>
          <w:p>
            <w:r>
              <w:rPr>
                <w:b/>
              </w:rPr>
              <w:t>Example</w:t>
            </w:r>
          </w:p>
        </w:tc>
      </w:tr>
      <w:tr>
        <w:tc>
          <w:tcPr>
            <w:tcW w:type="dxa" w:w="5040"/>
            <w:vAlign w:val="center"/>
          </w:tcPr>
          <w:p>
            <w:r>
              <w:t>System</w:t>
            </w:r>
          </w:p>
        </w:tc>
        <w:tc>
          <w:tcPr>
            <w:tcW w:type="dxa" w:w="5040"/>
            <w:vAlign w:val="center"/>
          </w:tcPr>
          <w:p>
            <w:r>
              <w:t>Cloud Training Platform</w:t>
            </w:r>
          </w:p>
        </w:tc>
      </w:tr>
      <w:tr>
        <w:tc>
          <w:tcPr>
            <w:tcW w:type="dxa" w:w="5040"/>
            <w:vAlign w:val="center"/>
          </w:tcPr>
          <w:p>
            <w:r>
              <w:t>Regulated process</w:t>
            </w:r>
          </w:p>
        </w:tc>
        <w:tc>
          <w:tcPr>
            <w:tcW w:type="dxa" w:w="5040"/>
            <w:vAlign w:val="center"/>
          </w:tcPr>
          <w:p>
            <w:r>
              <w:t>Manufacturing training and operator qualification</w:t>
            </w:r>
          </w:p>
        </w:tc>
      </w:tr>
      <w:tr>
        <w:tc>
          <w:tcPr>
            <w:tcW w:type="dxa" w:w="5040"/>
            <w:vAlign w:val="center"/>
          </w:tcPr>
          <w:p>
            <w:r>
              <w:t>Intended use</w:t>
            </w:r>
          </w:p>
        </w:tc>
        <w:tc>
          <w:tcPr>
            <w:tcW w:type="dxa" w:w="5040"/>
            <w:vAlign w:val="center"/>
          </w:tcPr>
          <w:p>
            <w:r>
              <w:t>Record controlled training completion and provide status used to determine operator eligibility</w:t>
            </w:r>
          </w:p>
        </w:tc>
      </w:tr>
      <w:tr>
        <w:tc>
          <w:tcPr>
            <w:tcW w:type="dxa" w:w="5040"/>
            <w:vAlign w:val="center"/>
          </w:tcPr>
          <w:p>
            <w:r>
              <w:t>GxP assessment</w:t>
            </w:r>
          </w:p>
        </w:tc>
        <w:tc>
          <w:tcPr>
            <w:tcW w:type="dxa" w:w="5040"/>
            <w:vAlign w:val="center"/>
          </w:tcPr>
          <w:p>
            <w:r>
              <w:t>GxP-relevant</w:t>
            </w:r>
          </w:p>
        </w:tc>
      </w:tr>
      <w:tr>
        <w:tc>
          <w:tcPr>
            <w:tcW w:type="dxa" w:w="5040"/>
            <w:vAlign w:val="center"/>
          </w:tcPr>
          <w:p>
            <w:r>
              <w:t>Important functions</w:t>
            </w:r>
          </w:p>
        </w:tc>
        <w:tc>
          <w:tcPr>
            <w:tcW w:type="dxa" w:w="5040"/>
            <w:vAlign w:val="center"/>
          </w:tcPr>
          <w:p>
            <w:r>
              <w:t>Completion status, qualification logic, role mapping, interface, MES interlock</w:t>
            </w:r>
          </w:p>
        </w:tc>
      </w:tr>
      <w:tr>
        <w:tc>
          <w:tcPr>
            <w:tcW w:type="dxa" w:w="5040"/>
            <w:vAlign w:val="center"/>
          </w:tcPr>
          <w:p>
            <w:r>
              <w:t>Key dependency</w:t>
            </w:r>
          </w:p>
        </w:tc>
        <w:tc>
          <w:tcPr>
            <w:tcW w:type="dxa" w:w="5040"/>
            <w:vAlign w:val="center"/>
          </w:tcPr>
          <w:p>
            <w:r>
              <w:t>Enterprise identity and role service</w:t>
            </w:r>
          </w:p>
        </w:tc>
      </w:tr>
      <w:tr>
        <w:tc>
          <w:tcPr>
            <w:tcW w:type="dxa" w:w="5040"/>
            <w:vAlign w:val="center"/>
          </w:tcPr>
          <w:p>
            <w:r>
              <w:t>Part 11 follow-up</w:t>
            </w:r>
          </w:p>
        </w:tc>
        <w:tc>
          <w:tcPr>
            <w:tcW w:type="dxa" w:w="5040"/>
            <w:vAlign w:val="center"/>
          </w:tcPr>
          <w:p>
            <w:r>
              <w:t>Assess applicable electronic record/signature controls for controlled training records</w:t>
            </w:r>
          </w:p>
        </w:tc>
      </w:tr>
      <w:tr>
        <w:tc>
          <w:tcPr>
            <w:tcW w:type="dxa" w:w="5040"/>
            <w:vAlign w:val="center"/>
          </w:tcPr>
          <w:p>
            <w:r>
              <w:t>Rationale</w:t>
            </w:r>
          </w:p>
        </w:tc>
        <w:tc>
          <w:tcPr>
            <w:tcW w:type="dxa" w:w="5040"/>
            <w:vAlign w:val="center"/>
          </w:tcPr>
          <w:p>
            <w:r>
              <w:t>Incorrect status could permit unqualified personnel to perform regulated work</w:t>
            </w:r>
          </w:p>
        </w:tc>
      </w:tr>
    </w:tbl>
    <w:p>
      <w:pPr>
        <w:pStyle w:val="Heading1"/>
      </w:pPr>
      <w:r>
        <w:t>2.11 Common Mistakes and Better Approaches</w:t>
      </w:r>
    </w:p>
    <w:tbl>
      <w:tblPr>
        <w:tblStyle w:val="TableGrid"/>
        <w:tblW w:type="auto" w:w="0"/>
        <w:jc w:val="center"/>
        <w:tblLook w:firstColumn="1" w:firstRow="1" w:lastColumn="0" w:lastRow="0" w:noHBand="0" w:noVBand="1" w:val="04A0"/>
      </w:tblPr>
      <w:tblGrid>
        <w:gridCol w:w="3360"/>
        <w:gridCol w:w="3360"/>
        <w:gridCol w:w="3360"/>
      </w:tblGrid>
      <w:tr>
        <w:tc>
          <w:tcPr>
            <w:tcW w:type="dxa" w:w="3360"/>
            <w:shd w:fill="EAF2F8"/>
          </w:tcPr>
          <w:p>
            <w:r>
              <w:rPr>
                <w:b/>
              </w:rPr>
              <w:t>Common mistake</w:t>
            </w:r>
          </w:p>
        </w:tc>
        <w:tc>
          <w:tcPr>
            <w:tcW w:type="dxa" w:w="3360"/>
            <w:shd w:fill="EAF2F8"/>
          </w:tcPr>
          <w:p>
            <w:r>
              <w:rPr>
                <w:b/>
              </w:rPr>
              <w:t>Why it causes problems</w:t>
            </w:r>
          </w:p>
        </w:tc>
        <w:tc>
          <w:tcPr>
            <w:tcW w:type="dxa" w:w="3360"/>
            <w:shd w:fill="EAF2F8"/>
          </w:tcPr>
          <w:p>
            <w:r>
              <w:rPr>
                <w:b/>
              </w:rPr>
              <w:t>Better approach</w:t>
            </w:r>
          </w:p>
        </w:tc>
      </w:tr>
      <w:tr>
        <w:tc>
          <w:tcPr>
            <w:tcW w:type="dxa" w:w="3360"/>
            <w:vAlign w:val="center"/>
          </w:tcPr>
          <w:p>
            <w:r>
              <w:t>Classifying by system name or category</w:t>
            </w:r>
          </w:p>
        </w:tc>
        <w:tc>
          <w:tcPr>
            <w:tcW w:type="dxa" w:w="3360"/>
            <w:vAlign w:val="center"/>
          </w:tcPr>
          <w:p>
            <w:r>
              <w:t>Technology labels do not describe the regulated use.</w:t>
            </w:r>
          </w:p>
        </w:tc>
        <w:tc>
          <w:tcPr>
            <w:tcW w:type="dxa" w:w="3360"/>
            <w:vAlign w:val="center"/>
          </w:tcPr>
          <w:p>
            <w:r>
              <w:t>Define the actual intended use first.</w:t>
            </w:r>
          </w:p>
        </w:tc>
      </w:tr>
      <w:tr>
        <w:tc>
          <w:tcPr>
            <w:tcW w:type="dxa" w:w="3360"/>
            <w:vAlign w:val="center"/>
          </w:tcPr>
          <w:p>
            <w:r>
              <w:t>Treating business criticality as GxP impact</w:t>
            </w:r>
          </w:p>
        </w:tc>
        <w:tc>
          <w:tcPr>
            <w:tcW w:type="dxa" w:w="3360"/>
            <w:vAlign w:val="center"/>
          </w:tcPr>
          <w:p>
            <w:r>
              <w:t>Operational importance and regulated impact are different.</w:t>
            </w:r>
          </w:p>
        </w:tc>
        <w:tc>
          <w:tcPr>
            <w:tcW w:type="dxa" w:w="3360"/>
            <w:vAlign w:val="center"/>
          </w:tcPr>
          <w:p>
            <w:r>
              <w:t>Assess consequences to the regulated process or record.</w:t>
            </w:r>
          </w:p>
        </w:tc>
      </w:tr>
      <w:tr>
        <w:tc>
          <w:tcPr>
            <w:tcW w:type="dxa" w:w="3360"/>
            <w:vAlign w:val="center"/>
          </w:tcPr>
          <w:p>
            <w:r>
              <w:t>Using one risk level for every function</w:t>
            </w:r>
          </w:p>
        </w:tc>
        <w:tc>
          <w:tcPr>
            <w:tcW w:type="dxa" w:w="3360"/>
            <w:vAlign w:val="center"/>
          </w:tcPr>
          <w:p>
            <w:r>
              <w:t>Important and administrative functions may have different failure consequences.</w:t>
            </w:r>
          </w:p>
        </w:tc>
        <w:tc>
          <w:tcPr>
            <w:tcW w:type="dxa" w:w="3360"/>
            <w:vAlign w:val="center"/>
          </w:tcPr>
          <w:p>
            <w:r>
              <w:t>Identify GxP functions and proceed to functional risk assessment.</w:t>
            </w:r>
          </w:p>
        </w:tc>
      </w:tr>
      <w:tr>
        <w:tc>
          <w:tcPr>
            <w:tcW w:type="dxa" w:w="3360"/>
            <w:vAlign w:val="center"/>
          </w:tcPr>
          <w:p>
            <w:r>
              <w:t>Ignoring interfaces or identity services</w:t>
            </w:r>
          </w:p>
        </w:tc>
        <w:tc>
          <w:tcPr>
            <w:tcW w:type="dxa" w:w="3360"/>
            <w:vAlign w:val="center"/>
          </w:tcPr>
          <w:p>
            <w:r>
              <w:t>A dependency may change the regulated outcome.</w:t>
            </w:r>
          </w:p>
        </w:tc>
        <w:tc>
          <w:tcPr>
            <w:tcW w:type="dxa" w:w="3360"/>
            <w:vAlign w:val="center"/>
          </w:tcPr>
          <w:p>
            <w:r>
              <w:t>Define the end-to-end assessment boundary.</w:t>
            </w:r>
          </w:p>
        </w:tc>
      </w:tr>
      <w:tr>
        <w:tc>
          <w:tcPr>
            <w:tcW w:type="dxa" w:w="3360"/>
            <w:vAlign w:val="center"/>
          </w:tcPr>
          <w:p>
            <w:r>
              <w:t>Assuming SaaS is automatically low risk because the supplier controls it</w:t>
            </w:r>
          </w:p>
        </w:tc>
        <w:tc>
          <w:tcPr>
            <w:tcW w:type="dxa" w:w="3360"/>
            <w:vAlign w:val="center"/>
          </w:tcPr>
          <w:p>
            <w:r>
              <w:t>Deployment model does not determine GxP impact.</w:t>
            </w:r>
          </w:p>
        </w:tc>
        <w:tc>
          <w:tcPr>
            <w:tcW w:type="dxa" w:w="3360"/>
            <w:vAlign w:val="center"/>
          </w:tcPr>
          <w:p>
            <w:r>
              <w:t>Assess intended use and supplier/customer responsibilities.</w:t>
            </w:r>
          </w:p>
        </w:tc>
      </w:tr>
      <w:tr>
        <w:tc>
          <w:tcPr>
            <w:tcW w:type="dxa" w:w="3360"/>
            <w:vAlign w:val="center"/>
          </w:tcPr>
          <w:p>
            <w:r>
              <w:t>Assuming a small spreadsheet cannot be GxP</w:t>
            </w:r>
          </w:p>
        </w:tc>
        <w:tc>
          <w:tcPr>
            <w:tcW w:type="dxa" w:w="3360"/>
            <w:vAlign w:val="center"/>
          </w:tcPr>
          <w:p>
            <w:r>
              <w:t>Technology size does not determine impact.</w:t>
            </w:r>
          </w:p>
        </w:tc>
        <w:tc>
          <w:tcPr>
            <w:tcW w:type="dxa" w:w="3360"/>
            <w:vAlign w:val="center"/>
          </w:tcPr>
          <w:p>
            <w:r>
              <w:t>Assess what decision depends on the calculation.</w:t>
            </w:r>
          </w:p>
        </w:tc>
      </w:tr>
      <w:tr>
        <w:tc>
          <w:tcPr>
            <w:tcW w:type="dxa" w:w="3360"/>
            <w:vAlign w:val="center"/>
          </w:tcPr>
          <w:p>
            <w:r>
              <w:t>Combining GxP and Part 11 into one yes/no question</w:t>
            </w:r>
          </w:p>
        </w:tc>
        <w:tc>
          <w:tcPr>
            <w:tcW w:type="dxa" w:w="3360"/>
            <w:vAlign w:val="center"/>
          </w:tcPr>
          <w:p>
            <w:r>
              <w:t>They address related but different issues.</w:t>
            </w:r>
          </w:p>
        </w:tc>
        <w:tc>
          <w:tcPr>
            <w:tcW w:type="dxa" w:w="3360"/>
            <w:vAlign w:val="center"/>
          </w:tcPr>
          <w:p>
            <w:r>
              <w:t>Establish GxP use first, then assess applicable electronic-record/signature controls.</w:t>
            </w:r>
          </w:p>
        </w:tc>
      </w:tr>
    </w:tbl>
    <w:p>
      <w:pPr>
        <w:pStyle w:val="Heading1"/>
      </w:pPr>
      <w:r>
        <w:t>2.12 Practical Takeaway</w:t>
      </w:r>
    </w:p>
    <w:p>
      <w:r>
        <w:t>A strong software assurance decision begins with a precise description of what the organization relies on the software to do. The intended use identifies the regulated activity, the decision or record involved, the relevant users and dependencies, and the functions that matter. The GxP assessment then determines whether those uses support regulated processes or records and which functions should move forward into functional risk assessment.</w:t>
      </w:r>
    </w:p>
    <w:p>
      <w:r>
        <w:t>Do not validate a technology label. Validate the defined use. Do not classify every function the same way. Identify the functions that can affect the regulated process. Do not stop at the application boundary when interfaces, identity services, calculations, or downstream systems determine the final outcome.</w:t>
      </w:r>
    </w:p>
    <w:p>
      <w:pPr>
        <w:pStyle w:val="Heading1"/>
      </w:pPr>
      <w:r>
        <w:t>Knowledge Check</w:t>
      </w:r>
    </w:p>
    <w:p>
      <w:r>
        <w:rPr>
          <w:b/>
        </w:rPr>
        <w:t>1. Which intended-use statement is most useful for a functional risk assessment?</w:t>
      </w:r>
    </w:p>
    <w:p>
      <w:pPr>
        <w:pStyle w:val="ListBullet"/>
      </w:pPr>
      <w:r>
        <w:t>A. The system is a cloud-based eQMS.</w:t>
      </w:r>
    </w:p>
    <w:p>
      <w:pPr>
        <w:pStyle w:val="ListBullet"/>
      </w:pPr>
      <w:r>
        <w:t>B. The system is used by the Quality organization.</w:t>
      </w:r>
    </w:p>
    <w:p>
      <w:pPr>
        <w:pStyle w:val="ListBullet"/>
      </w:pPr>
      <w:r>
        <w:t>C. The system routes CAPA records for required Quality approval and prevents closure until approval is complete.</w:t>
      </w:r>
    </w:p>
    <w:p>
      <w:pPr>
        <w:pStyle w:val="ListBullet"/>
      </w:pPr>
      <w:r>
        <w:t>D. The system provides modern Quality workflow capabilities.</w:t>
      </w:r>
    </w:p>
    <w:p>
      <w:r>
        <w:rPr>
          <w:i/>
        </w:rPr>
        <w:t>Answer: C. It identifies the regulated process, the specific system function, and the control that the organization relies on.</w:t>
      </w:r>
    </w:p>
    <w:p>
      <w:r>
        <w:rPr>
          <w:b/>
        </w:rPr>
        <w:t>2. Which statement best distinguishes business criticality from GxP impact?</w:t>
      </w:r>
    </w:p>
    <w:p>
      <w:pPr>
        <w:pStyle w:val="ListBullet"/>
      </w:pPr>
      <w:r>
        <w:t>A. Any business-critical system is automatically GxP.</w:t>
      </w:r>
    </w:p>
    <w:p>
      <w:pPr>
        <w:pStyle w:val="ListBullet"/>
      </w:pPr>
      <w:r>
        <w:t>B. GxP impact depends on how failure can affect the regulated process, record, product quality, patient safety, or data integrity.</w:t>
      </w:r>
    </w:p>
    <w:p>
      <w:pPr>
        <w:pStyle w:val="ListBullet"/>
      </w:pPr>
      <w:r>
        <w:t>C. Only systems purchased from regulated-industry suppliers can be GxP.</w:t>
      </w:r>
    </w:p>
    <w:p>
      <w:pPr>
        <w:pStyle w:val="ListBullet"/>
      </w:pPr>
      <w:r>
        <w:t>D. Small applications cannot be GxP because they are not enterprise systems.</w:t>
      </w:r>
    </w:p>
    <w:p>
      <w:r>
        <w:rPr>
          <w:i/>
        </w:rPr>
        <w:t>Answer: B. GxP impact is based on the role and consequence of failure in the regulated process, not system size or business importance alone.</w:t>
      </w:r>
    </w:p>
    <w:p>
      <w:r>
        <w:rPr>
          <w:b/>
        </w:rPr>
        <w:t>3. A training system correctly records completions, but operator eligibility in MES depends on an interface and role-mapping service. What is the best assessment boundary?</w:t>
      </w:r>
    </w:p>
    <w:p>
      <w:pPr>
        <w:pStyle w:val="ListBullet"/>
      </w:pPr>
      <w:r>
        <w:t>A. The LMS only, because it is the source of the training record.</w:t>
      </w:r>
    </w:p>
    <w:p>
      <w:pPr>
        <w:pStyle w:val="ListBullet"/>
      </w:pPr>
      <w:r>
        <w:t>B. MES only, because MES controls manufacturing access.</w:t>
      </w:r>
    </w:p>
    <w:p>
      <w:pPr>
        <w:pStyle w:val="ListBullet"/>
      </w:pPr>
      <w:r>
        <w:t>C. The end-to-end eligibility process, including the relevant LMS status, role mapping, interface, and MES control.</w:t>
      </w:r>
    </w:p>
    <w:p>
      <w:pPr>
        <w:pStyle w:val="ListBullet"/>
      </w:pPr>
      <w:r>
        <w:t>D. The identity service only, because user identity is the root dependency.</w:t>
      </w:r>
    </w:p>
    <w:p>
      <w:r>
        <w:rPr>
          <w:i/>
        </w:rPr>
        <w:t>Answer: C. The regulated outcome depends on the end-to-end qualification decision and its relevant dependencies.</w:t>
      </w:r>
    </w:p>
    <w:p>
      <w:r>
        <w:rPr>
          <w:b/>
        </w:rPr>
        <w:t>4. Which situation most clearly shows why GxP assessment and Part 11 assessment should not be treated as the same question?</w:t>
      </w:r>
    </w:p>
    <w:p>
      <w:pPr>
        <w:pStyle w:val="ListBullet"/>
      </w:pPr>
      <w:r>
        <w:t>A. A system can support a GxP process even when no electronic signature is used.</w:t>
      </w:r>
    </w:p>
    <w:p>
      <w:pPr>
        <w:pStyle w:val="ListBullet"/>
      </w:pPr>
      <w:r>
        <w:t>B. Every GxP system always requires electronic signatures.</w:t>
      </w:r>
    </w:p>
    <w:p>
      <w:pPr>
        <w:pStyle w:val="ListBullet"/>
      </w:pPr>
      <w:r>
        <w:t>C. Part 11 applies only to cloud software.</w:t>
      </w:r>
    </w:p>
    <w:p>
      <w:pPr>
        <w:pStyle w:val="ListBullet"/>
      </w:pPr>
      <w:r>
        <w:t>D. A non-GxP system must always be validated if it has an audit trail.</w:t>
      </w:r>
    </w:p>
    <w:p>
      <w:r>
        <w:rPr>
          <w:i/>
        </w:rPr>
        <w:t>Answer: A. GxP relevance is based on the regulated use; Part 11 applicability depends on the electronic records/signatures and applicable regulatory context.</w:t>
      </w:r>
    </w:p>
    <w:p>
      <w:r>
        <w:rPr>
          <w:b/>
        </w:rPr>
        <w:t>5. What is the best next step after determining that an eQMS supports a GxP process?</w:t>
      </w:r>
    </w:p>
    <w:p>
      <w:pPr>
        <w:pStyle w:val="ListBullet"/>
      </w:pPr>
      <w:r>
        <w:t>A. Assign the entire eQMS one risk rating and test every feature the same way.</w:t>
      </w:r>
    </w:p>
    <w:p>
      <w:pPr>
        <w:pStyle w:val="ListBullet"/>
      </w:pPr>
      <w:r>
        <w:t>B. Identify the GxP functions and assess credible failure scenarios, controls, evidence, and testing needs.</w:t>
      </w:r>
    </w:p>
    <w:p>
      <w:pPr>
        <w:pStyle w:val="ListBullet"/>
      </w:pPr>
      <w:r>
        <w:t>C. Execute full regression testing before defining intended use.</w:t>
      </w:r>
    </w:p>
    <w:p>
      <w:pPr>
        <w:pStyle w:val="ListBullet"/>
      </w:pPr>
      <w:r>
        <w:t>D. Accept the supplier's validation package as the final conclusion.</w:t>
      </w:r>
    </w:p>
    <w:p>
      <w:r>
        <w:rPr>
          <w:i/>
        </w:rPr>
        <w:t>Answer: B. Functional risk assessment builds on the intended use and GxP assessment to determine where additional rigor and testing are appropriate.</w:t>
      </w:r>
    </w:p>
    <w:p>
      <w:pPr>
        <w:pStyle w:val="Heading1"/>
      </w:pPr>
      <w:r>
        <w:t>References</w:t>
      </w:r>
    </w:p>
    <w:p>
      <w:pPr>
        <w:pStyle w:val="ListBullet"/>
      </w:pPr>
      <w:r>
        <w:t>U.S. Food and Drug Administration. Computer Software Assurance for Production and Quality Management System Software: Guidance for Industry and Food and Drug Administration Staff. February 2026.</w:t>
      </w:r>
    </w:p>
    <w:p>
      <w:pPr>
        <w:pStyle w:val="ListBullet"/>
      </w:pPr>
      <w:r>
        <w:t>U.S. Food and Drug Administration. Quality Management System Regulation (QMSR). Effective February 2, 2026.</w:t>
      </w:r>
    </w:p>
    <w:p>
      <w:pPr>
        <w:pStyle w:val="ListBullet"/>
      </w:pPr>
      <w:r>
        <w:t>21 CFR Part 11, Electronic Records; Electronic Signatures.</w:t>
      </w:r>
    </w:p>
    <w:p>
      <w:pPr>
        <w:pStyle w:val="ListBullet"/>
      </w:pPr>
      <w:r>
        <w:t>ISO 13485:2016, Medical devices — Quality management systems — Requirements for regulatory purposes. Incorporated by reference into FDA's QMSR as described by FDA.</w:t>
      </w:r>
    </w:p>
    <w:p>
      <w:pPr>
        <w:pStyle w:val="ListBullet"/>
      </w:pPr>
      <w:r>
        <w:t>FDA guidance and regulations should be read together with the organization's approved procedures and other applicable regulations, standards, and commitments.</w:t>
      </w:r>
    </w:p>
    <w:p>
      <w:pPr>
        <w:pStyle w:val="Heading1"/>
      </w:pPr>
      <w:r>
        <w:t>Module 2 Completion</w:t>
      </w:r>
    </w:p>
    <w:p>
      <w:r>
        <w:t>After completing this module, the learner should be able to state the intended use of a computerized system, explain why the use is or is not GxP-relevant, identify important GxP functions and dependencies, and define an assessment boundary suitable for the next step: functional risk assessment.</w:t>
      </w:r>
    </w:p>
    <w:p>
      <w:r>
        <w:t>Next module: Module 3 — Requirements and Traceability.</w:t>
      </w:r>
    </w:p>
    <w:sectPr w:rsidR="00FC693F" w:rsidRPr="0006063C" w:rsidSect="00034616">
      <w:headerReference w:type="default" r:id="rId9"/>
      <w:footerReference w:type="default" r:id="rId10"/>
      <w:pgSz w:w="12240" w:h="15840"/>
      <w:pgMar w:top="936" w:right="1080" w:bottom="936"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Module 2 • Intended Use and GxP Assessment</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sz w:val="16"/>
      </w:rPr>
      <w:t>CSVtoCSA | Computer Software Assurance Foundations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4F81BD" w:themeColor="accent1"/>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b/>
      <w:color w:val="17365D" w:themeColor="text2" w:themeShade="BF"/>
      <w:spacing w:val="5"/>
      <w:kern w:val="28"/>
      <w:sz w:val="5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