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6"/>
        </w:rPr>
        <w:t>CSVtoCSA</w:t>
      </w:r>
    </w:p>
    <w:p>
      <w:pPr>
        <w:jc w:val="center"/>
      </w:pPr>
      <w:r>
        <w:rPr>
          <w:b/>
          <w:sz w:val="50"/>
        </w:rPr>
        <w:t>Computer Software Assurance Foundations</w:t>
      </w:r>
    </w:p>
    <w:p>
      <w:pPr>
        <w:jc w:val="center"/>
      </w:pPr>
      <w:r>
        <w:rPr>
          <w:b/>
          <w:sz w:val="40"/>
        </w:rPr>
        <w:t>Module 1: CSV and CSA Fundamentals</w:t>
      </w:r>
    </w:p>
    <w:p/>
    <w:p>
      <w:pPr>
        <w:jc w:val="center"/>
      </w:pPr>
      <w:r>
        <w:rPr>
          <w:b/>
        </w:rPr>
        <w:t xml:space="preserve">Purpose: </w:t>
      </w:r>
      <w:r>
        <w:t>Establish the foundational concepts needed to understand computerized system validation and computer software assurance in regulated work.</w:t>
      </w:r>
    </w:p>
    <w:p>
      <w:pPr>
        <w:jc w:val="center"/>
      </w:pPr>
      <w:r>
        <w:rPr>
          <w:b/>
        </w:rPr>
        <w:t xml:space="preserve">Estimated learning time: </w:t>
      </w:r>
      <w:r>
        <w:t>45–60 minutes</w:t>
      </w:r>
    </w:p>
    <w:p>
      <w:pPr>
        <w:jc w:val="center"/>
      </w:pPr>
      <w:r>
        <w:rPr>
          <w:b/>
        </w:rPr>
        <w:t xml:space="preserve">Program version: </w:t>
      </w:r>
      <w:r>
        <w:t>1.0</w:t>
      </w:r>
    </w:p>
    <w:p>
      <w:pPr>
        <w:jc w:val="center"/>
      </w:pPr>
      <w:r>
        <w:rPr>
          <w:b/>
        </w:rPr>
        <w:t xml:space="preserve">Module status: </w:t>
      </w:r>
      <w:r>
        <w:t>Educational training material</w:t>
      </w:r>
    </w:p>
    <w:p/>
    <w:p>
      <w:pPr>
        <w:jc w:val="center"/>
      </w:pPr>
      <w:r>
        <w:rPr>
          <w:i/>
          <w:sz w:val="19"/>
        </w:rPr>
        <w:t>Educational use only. This module does not replace applicable regulations, guidance, company procedures, or Quality approval.</w:t>
      </w:r>
    </w:p>
    <w:p>
      <w:r>
        <w:br w:type="page"/>
      </w:r>
    </w:p>
    <w:p>
      <w:pPr>
        <w:pStyle w:val="Heading1"/>
      </w:pPr>
      <w:r>
        <w:t>Learning Objectives</w:t>
      </w:r>
    </w:p>
    <w:p>
      <w:pPr>
        <w:pStyle w:val="ListBullet"/>
      </w:pPr>
      <w:r>
        <w:t>Explain the purpose of computerized system validation (CSV) and computer software assurance (CSA).</w:t>
      </w:r>
    </w:p>
    <w:p>
      <w:pPr>
        <w:pStyle w:val="ListBullet"/>
      </w:pPr>
      <w:r>
        <w:t>Distinguish CSA from the misconception that it means less validation or less documentation.</w:t>
      </w:r>
    </w:p>
    <w:p>
      <w:pPr>
        <w:pStyle w:val="ListBullet"/>
      </w:pPr>
      <w:r>
        <w:t>Explain why intended use, GxP impact, functional risk, existing controls, and evidence drive the validation approach.</w:t>
      </w:r>
    </w:p>
    <w:p>
      <w:pPr>
        <w:pStyle w:val="ListBullet"/>
      </w:pPr>
      <w:r>
        <w:t>Describe when scripted, unscripted, exploratory, or automated testing may be appropriate.</w:t>
      </w:r>
    </w:p>
    <w:p>
      <w:pPr>
        <w:pStyle w:val="ListBullet"/>
      </w:pPr>
      <w:r>
        <w:t>Explain why validation should be maintained throughout the software lifecycle rather than treated as a one-time project.</w:t>
      </w:r>
    </w:p>
    <w:p>
      <w:pPr>
        <w:pStyle w:val="Heading1"/>
      </w:pPr>
      <w:r>
        <w:t>1. Why CSV and CSA Exist</w:t>
      </w:r>
    </w:p>
    <w:p>
      <w:r>
        <w:rPr>
          <w:b/>
        </w:rPr>
        <w:t xml:space="preserve">The purpose of software validation is not to create documents. </w:t>
      </w:r>
      <w:r>
        <w:t>The purpose is to establish that software used in a regulated process is suitable for its intended use and that the organization has enough evidence to rely on it. Documentation is important because it records the basis for the decision, but documentation volume is not the same as assurance.</w:t>
      </w:r>
    </w:p>
    <w:p>
      <w:r>
        <w:t>Computerized systems now perform activities that were previously manual: they calculate results, route approvals, determine training eligibility, transfer laboratory data, apply electronic signatures, control manufacturing steps, and retain regulated records. When software performs or supports those activities, a software failure can become a quality-system failure. A missing approval rule, an incorrect interface mapping, or an unauthorized access path may affect the regulated process even if the underlying software platform is technically stable.</w:t>
      </w:r>
    </w:p>
    <w:p>
      <w:r>
        <w:t>CSV developed as a structured way to demonstrate that systems used in regulated work are specified, tested, controlled, and suitable for their intended use. Over time, however, some validation programs became heavily focused on document templates, test-script volume, screenshots, and procedural completion. Those activities can be useful, but they become weak controls when they are performed without a clear link to the actual intended use and the failures that matter.</w:t>
      </w:r>
    </w:p>
    <w:p>
      <w:r>
        <w:t>CSA does not replace the objective of validation. It changes the emphasis. The practitioner begins with intended use, identifies important functions, considers credible failure scenarios and potential impact, reviews existing controls and evidence, and then selects the additional assurance activities that are appropriate. FDA's current CSA guidance for production and quality management system software describes a risk-based approach to establish confidence in automation and discusses testing methods and objective evidence that may be used through the lifecycle. The guidance applies to production and quality management system software for medical-device manufacturers and is not a general substitute for all software-validation requirements.</w:t>
      </w:r>
    </w:p>
    <w:p>
      <w:pPr>
        <w:pStyle w:val="Heading1"/>
      </w:pPr>
      <w:r>
        <w:t>2. Key Definitions and Concepts</w:t>
      </w:r>
    </w:p>
    <w:tbl>
      <w:tblPr>
        <w:tblStyle w:val="TableGrid"/>
        <w:tblW w:type="auto" w:w="0"/>
        <w:jc w:val="center"/>
        <w:tblLook w:firstColumn="1" w:firstRow="1" w:lastColumn="0" w:lastRow="0" w:noHBand="0" w:noVBand="1" w:val="04A0"/>
      </w:tblPr>
      <w:tblGrid>
        <w:gridCol w:w="4997"/>
        <w:gridCol w:w="4997"/>
      </w:tblGrid>
      <w:tr>
        <w:tc>
          <w:tcPr>
            <w:tcW w:type="dxa" w:w="4997"/>
          </w:tcPr>
          <w:p>
            <w:r>
              <w:t>Term</w:t>
            </w:r>
          </w:p>
        </w:tc>
        <w:tc>
          <w:tcPr>
            <w:tcW w:type="dxa" w:w="4997"/>
          </w:tcPr>
          <w:p>
            <w:r>
              <w:t>Practical meaning in this course</w:t>
            </w:r>
          </w:p>
        </w:tc>
      </w:tr>
      <w:tr>
        <w:tc>
          <w:tcPr>
            <w:tcW w:type="dxa" w:w="4997"/>
          </w:tcPr>
          <w:p>
            <w:r>
              <w:t>Computerized system validation (CSV)</w:t>
            </w:r>
          </w:p>
        </w:tc>
        <w:tc>
          <w:tcPr>
            <w:tcW w:type="dxa" w:w="4997"/>
          </w:tcPr>
          <w:p>
            <w:r>
              <w:t>A documented process used to establish that a computerized system is suitable for its intended use and performs consistently according to defined requirements and controls.</w:t>
            </w:r>
          </w:p>
        </w:tc>
      </w:tr>
      <w:tr>
        <w:tc>
          <w:tcPr>
            <w:tcW w:type="dxa" w:w="4997"/>
          </w:tcPr>
          <w:p>
            <w:r>
              <w:t>Computer software assurance (CSA)</w:t>
            </w:r>
          </w:p>
        </w:tc>
        <w:tc>
          <w:tcPr>
            <w:tcW w:type="dxa" w:w="4997"/>
          </w:tcPr>
          <w:p>
            <w:r>
              <w:t>A risk-based approach used to establish confidence that software used in production or quality management system activities is fit for its intended use.</w:t>
            </w:r>
          </w:p>
        </w:tc>
      </w:tr>
      <w:tr>
        <w:tc>
          <w:tcPr>
            <w:tcW w:type="dxa" w:w="4997"/>
          </w:tcPr>
          <w:p>
            <w:r>
              <w:t>Intended use</w:t>
            </w:r>
          </w:p>
        </w:tc>
        <w:tc>
          <w:tcPr>
            <w:tcW w:type="dxa" w:w="4997"/>
          </w:tcPr>
          <w:p>
            <w:r>
              <w:t>What the organization relies on the system or software function to do in the regulated process.</w:t>
            </w:r>
          </w:p>
        </w:tc>
      </w:tr>
      <w:tr>
        <w:tc>
          <w:tcPr>
            <w:tcW w:type="dxa" w:w="4997"/>
          </w:tcPr>
          <w:p>
            <w:r>
              <w:t>GxP function</w:t>
            </w:r>
          </w:p>
        </w:tc>
        <w:tc>
          <w:tcPr>
            <w:tcW w:type="dxa" w:w="4997"/>
          </w:tcPr>
          <w:p>
            <w:r>
              <w:t>A software function that supports a regulated process, regulated record, quality decision, manufacturing activity, laboratory activity, or other applicable GxP use.</w:t>
            </w:r>
          </w:p>
        </w:tc>
      </w:tr>
      <w:tr>
        <w:tc>
          <w:tcPr>
            <w:tcW w:type="dxa" w:w="4997"/>
          </w:tcPr>
          <w:p>
            <w:r>
              <w:t>Functional risk assessment</w:t>
            </w:r>
          </w:p>
        </w:tc>
        <w:tc>
          <w:tcPr>
            <w:tcW w:type="dxa" w:w="4997"/>
          </w:tcPr>
          <w:p>
            <w:r>
              <w:t>Assessment of what can fail in an important software function, the potential impact of that failure, existing controls, and the evidence needed to support the validation decision.</w:t>
            </w:r>
          </w:p>
        </w:tc>
      </w:tr>
      <w:tr>
        <w:tc>
          <w:tcPr>
            <w:tcW w:type="dxa" w:w="4997"/>
          </w:tcPr>
          <w:p>
            <w:r>
              <w:t>Objective evidence</w:t>
            </w:r>
          </w:p>
        </w:tc>
        <w:tc>
          <w:tcPr>
            <w:tcW w:type="dxa" w:w="4997"/>
          </w:tcPr>
          <w:p>
            <w:r>
              <w:t>Information that supports a conclusion, such as executed tests, supplier evidence, configuration review, automated test results, audit-trail review, or other documented evidence appropriate to the risk.</w:t>
            </w:r>
          </w:p>
        </w:tc>
      </w:tr>
      <w:tr>
        <w:tc>
          <w:tcPr>
            <w:tcW w:type="dxa" w:w="4997"/>
          </w:tcPr>
          <w:p>
            <w:r>
              <w:t>Maintaining the validated state</w:t>
            </w:r>
          </w:p>
        </w:tc>
        <w:tc>
          <w:tcPr>
            <w:tcW w:type="dxa" w:w="4997"/>
          </w:tcPr>
          <w:p>
            <w:r>
              <w:t>Using change control, incident management, access review, supplier oversight, periodic review, backup/restore evidence, and other lifecycle controls to ensure that the approved intended use remains supported over time.</w:t>
            </w:r>
          </w:p>
        </w:tc>
      </w:tr>
    </w:tbl>
    <w:p>
      <w:r>
        <w:rPr>
          <w:b/>
        </w:rPr>
        <w:t xml:space="preserve">Important distinction. </w:t>
      </w:r>
      <w:r>
        <w:t>The definitions above are practical course definitions. They should be used together with the exact terminology in applicable regulations, guidance, standards, and company procedures. When a regulation or approved procedure uses a defined term differently, that governing definition applies.</w:t>
      </w:r>
    </w:p>
    <w:p>
      <w:pPr>
        <w:pStyle w:val="Heading1"/>
      </w:pPr>
      <w:r>
        <w:t>3. Regulatory Context: What Changed and What Did Not</w:t>
      </w:r>
    </w:p>
    <w:p>
      <w:r>
        <w:t>FDA issued the current final guidance, Computer Software Assurance for Production and Quality Management System Software, in February 2026. It superseded the September 2025 version and provides recommendations for applying a risk-based approach to software used in medical-device production or the quality management system. The guidance discusses risk considerations, testing methods, and efficient generation of objective evidence.</w:t>
      </w:r>
    </w:p>
    <w:p>
      <w:r>
        <w:t>The February 2026 guidance does not say that validation is optional. It also does not say that scripted testing is obsolete. Instead, it recognizes that different software functions and failure conditions justify different levels of rigor and different testing methods. The practitioner should choose activities that are appropriate to the intended use and risk.</w:t>
      </w:r>
    </w:p>
    <w:p>
      <w:r>
        <w:t>The Quality Management System Regulation (QMSR) became effective on February 2, 2026. It amended 21 CFR Part 820 and incorporates ISO 13485:2016 by reference. For medical-device manufacturers, current software assurance practices therefore operate within a quality management system that is aligned more closely with ISO 13485 while still subject to applicable FDA requirements.</w:t>
      </w:r>
    </w:p>
    <w:p>
      <w:r>
        <w:t>FDA's 2002 General Principles of Software Validation guidance remains an important background source. It describes lifecycle validation concepts and states that software validation activities should be integrated with lifecycle and risk-management activities. The current CSA guidance applies that risk-based logic specifically to production and quality management system software and adds more detailed recommendations on risk, testing methods, and objective evidence.</w:t>
      </w:r>
    </w:p>
    <w:p>
      <w:pPr>
        <w:jc w:val="center"/>
      </w:pPr>
      <w:r>
        <w:drawing>
          <wp:inline xmlns:a="http://schemas.openxmlformats.org/drawingml/2006/main" xmlns:pic="http://schemas.openxmlformats.org/drawingml/2006/picture">
            <wp:extent cx="6217920" cy="3711219"/>
            <wp:docPr id="1" name="Picture 1"/>
            <wp:cNvGraphicFramePr>
              <a:graphicFrameLocks noChangeAspect="1"/>
            </wp:cNvGraphicFramePr>
            <a:graphic>
              <a:graphicData uri="http://schemas.openxmlformats.org/drawingml/2006/picture">
                <pic:pic>
                  <pic:nvPicPr>
                    <pic:cNvPr id="0" name="figure1.png"/>
                    <pic:cNvPicPr/>
                  </pic:nvPicPr>
                  <pic:blipFill>
                    <a:blip r:embed="rId11"/>
                    <a:stretch>
                      <a:fillRect/>
                    </a:stretch>
                  </pic:blipFill>
                  <pic:spPr>
                    <a:xfrm>
                      <a:off x="0" y="0"/>
                      <a:ext cx="6217920" cy="3711219"/>
                    </a:xfrm>
                    <a:prstGeom prst="rect"/>
                  </pic:spPr>
                </pic:pic>
              </a:graphicData>
            </a:graphic>
          </wp:inline>
        </w:drawing>
      </w:r>
    </w:p>
    <w:p>
      <w:pPr>
        <w:pStyle w:val="Heading1"/>
      </w:pPr>
      <w:r>
        <w:t>4. CSV and CSA: The Practical Difference in Emphasis</w:t>
      </w:r>
    </w:p>
    <w:p>
      <w:r>
        <w:t>CSV and CSA should not be treated as opposing methods. Both seek evidence that software is suitable for the intended use. The difference is primarily the emphasis placed on risk, critical thinking, existing evidence, and the selection of assurance activities.</w:t>
      </w:r>
    </w:p>
    <w:tbl>
      <w:tblPr>
        <w:tblStyle w:val="TableGrid"/>
        <w:tblW w:type="auto" w:w="0"/>
        <w:jc w:val="center"/>
        <w:tblLook w:firstColumn="1" w:firstRow="1" w:lastColumn="0" w:lastRow="0" w:noHBand="0" w:noVBand="1" w:val="04A0"/>
      </w:tblPr>
      <w:tblGrid>
        <w:gridCol w:w="3331"/>
        <w:gridCol w:w="3331"/>
        <w:gridCol w:w="3331"/>
      </w:tblGrid>
      <w:tr>
        <w:tc>
          <w:tcPr>
            <w:tcW w:type="dxa" w:w="3331"/>
          </w:tcPr>
          <w:p>
            <w:r>
              <w:t>Area</w:t>
            </w:r>
          </w:p>
        </w:tc>
        <w:tc>
          <w:tcPr>
            <w:tcW w:type="dxa" w:w="3331"/>
          </w:tcPr>
          <w:p>
            <w:r>
              <w:t>Weak validation pattern</w:t>
            </w:r>
          </w:p>
        </w:tc>
        <w:tc>
          <w:tcPr>
            <w:tcW w:type="dxa" w:w="3331"/>
          </w:tcPr>
          <w:p>
            <w:r>
              <w:t>Risk-based CSA approach</w:t>
            </w:r>
          </w:p>
        </w:tc>
      </w:tr>
      <w:tr>
        <w:tc>
          <w:tcPr>
            <w:tcW w:type="dxa" w:w="3331"/>
          </w:tcPr>
          <w:p>
            <w:r>
              <w:t>Risk</w:t>
            </w:r>
          </w:p>
        </w:tc>
        <w:tc>
          <w:tcPr>
            <w:tcW w:type="dxa" w:w="3331"/>
          </w:tcPr>
          <w:p>
            <w:r>
              <w:t>One overall risk rating is assigned to the entire system.</w:t>
            </w:r>
          </w:p>
        </w:tc>
        <w:tc>
          <w:tcPr>
            <w:tcW w:type="dxa" w:w="3331"/>
          </w:tcPr>
          <w:p>
            <w:r>
              <w:t>Important GxP functions and failure scenarios are assessed at an appropriate level.</w:t>
            </w:r>
          </w:p>
        </w:tc>
      </w:tr>
      <w:tr>
        <w:tc>
          <w:tcPr>
            <w:tcW w:type="dxa" w:w="3331"/>
          </w:tcPr>
          <w:p>
            <w:r>
              <w:t>Testing</w:t>
            </w:r>
          </w:p>
        </w:tc>
        <w:tc>
          <w:tcPr>
            <w:tcW w:type="dxa" w:w="3331"/>
          </w:tcPr>
          <w:p>
            <w:r>
              <w:t>Most requirements receive similar scripted testing.</w:t>
            </w:r>
          </w:p>
        </w:tc>
        <w:tc>
          <w:tcPr>
            <w:tcW w:type="dxa" w:w="3331"/>
          </w:tcPr>
          <w:p>
            <w:r>
              <w:t>Testing depth and method are selected based on risk, controls, complexity, uncertainty, and available evidence.</w:t>
            </w:r>
          </w:p>
        </w:tc>
      </w:tr>
      <w:tr>
        <w:tc>
          <w:tcPr>
            <w:tcW w:type="dxa" w:w="3331"/>
          </w:tcPr>
          <w:p>
            <w:r>
              <w:t>Supplier evidence</w:t>
            </w:r>
          </w:p>
        </w:tc>
        <w:tc>
          <w:tcPr>
            <w:tcW w:type="dxa" w:w="3331"/>
          </w:tcPr>
          <w:p>
            <w:r>
              <w:t>Supplier testing is ignored or repeated automatically.</w:t>
            </w:r>
          </w:p>
        </w:tc>
        <w:tc>
          <w:tcPr>
            <w:tcW w:type="dxa" w:w="3331"/>
          </w:tcPr>
          <w:p>
            <w:r>
              <w:t>Supplier evidence is reviewed for relevance, reliability, scope, and limitations before deciding what local testing is needed.</w:t>
            </w:r>
          </w:p>
        </w:tc>
      </w:tr>
      <w:tr>
        <w:tc>
          <w:tcPr>
            <w:tcW w:type="dxa" w:w="3331"/>
          </w:tcPr>
          <w:p>
            <w:r>
              <w:t>Documentation</w:t>
            </w:r>
          </w:p>
        </w:tc>
        <w:tc>
          <w:tcPr>
            <w:tcW w:type="dxa" w:w="3331"/>
          </w:tcPr>
          <w:p>
            <w:r>
              <w:t>Completion of templates becomes the objective.</w:t>
            </w:r>
          </w:p>
        </w:tc>
        <w:tc>
          <w:tcPr>
            <w:tcW w:type="dxa" w:w="3331"/>
          </w:tcPr>
          <w:p>
            <w:r>
              <w:t>Documentation records the intended use, risk reasoning, evidence, testing, deviations, and conclusion.</w:t>
            </w:r>
          </w:p>
        </w:tc>
      </w:tr>
      <w:tr>
        <w:tc>
          <w:tcPr>
            <w:tcW w:type="dxa" w:w="3331"/>
          </w:tcPr>
          <w:p>
            <w:r>
              <w:t>Evidence</w:t>
            </w:r>
          </w:p>
        </w:tc>
        <w:tc>
          <w:tcPr>
            <w:tcW w:type="dxa" w:w="3331"/>
          </w:tcPr>
          <w:p>
            <w:r>
              <w:t>Screenshots and pass counts are treated as proof of quality.</w:t>
            </w:r>
          </w:p>
        </w:tc>
        <w:tc>
          <w:tcPr>
            <w:tcW w:type="dxa" w:w="3331"/>
          </w:tcPr>
          <w:p>
            <w:r>
              <w:t>Evidence is selected because it supports the specific validation conclusion.</w:t>
            </w:r>
          </w:p>
        </w:tc>
      </w:tr>
      <w:tr>
        <w:tc>
          <w:tcPr>
            <w:tcW w:type="dxa" w:w="3331"/>
          </w:tcPr>
          <w:p>
            <w:r>
              <w:t>Lifecycle</w:t>
            </w:r>
          </w:p>
        </w:tc>
        <w:tc>
          <w:tcPr>
            <w:tcW w:type="dxa" w:w="3331"/>
          </w:tcPr>
          <w:p>
            <w:r>
              <w:t>Validation ends at go-live.</w:t>
            </w:r>
          </w:p>
        </w:tc>
        <w:tc>
          <w:tcPr>
            <w:tcW w:type="dxa" w:w="3331"/>
          </w:tcPr>
          <w:p>
            <w:r>
              <w:t>Change control, incidents, access review, supplier changes, periodic review, and other lifecycle controls maintain the validated state.</w:t>
            </w:r>
          </w:p>
        </w:tc>
      </w:tr>
    </w:tbl>
    <w:p>
      <w:r>
        <w:rPr>
          <w:b/>
        </w:rPr>
        <w:t xml:space="preserve">Key point. </w:t>
      </w:r>
      <w:r>
        <w:t>CSA is not a program for reducing documents. It is a program for applying the right assurance activity to the right risk and documenting enough information to support the decision.</w:t>
      </w:r>
    </w:p>
    <w:p>
      <w:pPr>
        <w:pStyle w:val="Heading1"/>
      </w:pPr>
      <w:r>
        <w:t>5. Common Misconceptions About CSA</w:t>
      </w:r>
    </w:p>
    <w:p>
      <w:r>
        <w:rPr>
          <w:b/>
        </w:rPr>
        <w:t xml:space="preserve">“CSA means we do not need validation.” </w:t>
      </w:r>
      <w:r>
        <w:t>Incorrect. CSA is a risk-based way to establish confidence that software is fit for its intended use. The validation objective remains.</w:t>
      </w:r>
    </w:p>
    <w:p>
      <w:r>
        <w:rPr>
          <w:b/>
        </w:rPr>
        <w:t xml:space="preserve">“CSA eliminates scripted testing.” </w:t>
      </w:r>
      <w:r>
        <w:t>Incorrect. Scripted testing is appropriate when repeatability, deterministic expected results, or higher-risk controls justify detailed predefined steps and expected results.</w:t>
      </w:r>
    </w:p>
    <w:p>
      <w:r>
        <w:rPr>
          <w:b/>
        </w:rPr>
        <w:t xml:space="preserve">“Unscripted testing means undocumented testing.” </w:t>
      </w:r>
      <w:r>
        <w:t>Incorrect. Unscripted or exploratory testing still needs enough evidence to identify the objective, tester, system/version, activities performed, observations, issues, and conclusion.</w:t>
      </w:r>
    </w:p>
    <w:p>
      <w:r>
        <w:rPr>
          <w:b/>
        </w:rPr>
        <w:t xml:space="preserve">“If the vendor validated the software, the customer does not need to do anything.” </w:t>
      </w:r>
      <w:r>
        <w:t>Incorrect. Supplier evidence may support the local validation approach, but the customer must determine whether it applies to the intended use, configuration, interfaces, data, and regulated process.</w:t>
      </w:r>
    </w:p>
    <w:p>
      <w:r>
        <w:rPr>
          <w:b/>
        </w:rPr>
        <w:t xml:space="preserve">“More screenshots mean stronger validation.” </w:t>
      </w:r>
      <w:r>
        <w:t>Incorrect. Evidence should demonstrate the relevant result. A screenshot for every step can add volume without improving the evidence for the critical failure being tested.</w:t>
      </w:r>
    </w:p>
    <w:p>
      <w:r>
        <w:rPr>
          <w:b/>
        </w:rPr>
        <w:t xml:space="preserve">“A high-risk system requires every function to be tested the same way.” </w:t>
      </w:r>
      <w:r>
        <w:t>Incorrect. Different functions can have different failure consequences. Function-level risk assessment helps focus testing where the impact and uncertainty are greatest.</w:t>
      </w:r>
    </w:p>
    <w:p>
      <w:pPr>
        <w:jc w:val="center"/>
      </w:pPr>
      <w:r>
        <w:drawing>
          <wp:inline xmlns:a="http://schemas.openxmlformats.org/drawingml/2006/main" xmlns:pic="http://schemas.openxmlformats.org/drawingml/2006/picture">
            <wp:extent cx="5394960" cy="6683896"/>
            <wp:docPr id="2" name="Picture 2"/>
            <wp:cNvGraphicFramePr>
              <a:graphicFrameLocks noChangeAspect="1"/>
            </wp:cNvGraphicFramePr>
            <a:graphic>
              <a:graphicData uri="http://schemas.openxmlformats.org/drawingml/2006/picture">
                <pic:pic>
                  <pic:nvPicPr>
                    <pic:cNvPr id="0" name="figure2.png"/>
                    <pic:cNvPicPr/>
                  </pic:nvPicPr>
                  <pic:blipFill>
                    <a:blip r:embed="rId12"/>
                    <a:stretch>
                      <a:fillRect/>
                    </a:stretch>
                  </pic:blipFill>
                  <pic:spPr>
                    <a:xfrm>
                      <a:off x="0" y="0"/>
                      <a:ext cx="5394960" cy="6683896"/>
                    </a:xfrm>
                    <a:prstGeom prst="rect"/>
                  </pic:spPr>
                </pic:pic>
              </a:graphicData>
            </a:graphic>
          </wp:inline>
        </w:drawing>
      </w:r>
    </w:p>
    <w:p>
      <w:pPr>
        <w:pStyle w:val="Heading1"/>
      </w:pPr>
      <w:r>
        <w:t>6. A Practical CSA Assessment Process</w:t>
      </w:r>
    </w:p>
    <w:p>
      <w:r>
        <w:rPr>
          <w:b/>
        </w:rPr>
        <w:t>Step 1: Define intended use</w:t>
      </w:r>
      <w:r>
        <w:t xml:space="preserve"> — Describe what the organization relies on the software to do. Avoid generic statements such as “the system manages Quality.” State the specific regulated activity or decision. Example: “The eQMS routes CAPA records for required review and approval and prevents closure until required approvals are complete.”</w:t>
      </w:r>
    </w:p>
    <w:p>
      <w:r>
        <w:rPr>
          <w:b/>
        </w:rPr>
        <w:t>Step 2: Identify important GxP functions</w:t>
      </w:r>
      <w:r>
        <w:t xml:space="preserve"> — Break the intended use into functions that can be assessed meaningfully. Examples include approval routing, electronic signature, operator eligibility, calculation, interface transfer, or record retention.</w:t>
      </w:r>
    </w:p>
    <w:p>
      <w:r>
        <w:rPr>
          <w:b/>
        </w:rPr>
        <w:t>Step 3: Describe credible failure scenarios</w:t>
      </w:r>
      <w:r>
        <w:t xml:space="preserve"> — Ask what could go wrong in the function. Avoid vague statements such as “system fails.” A useful failure scenario is specific: “CAPA closes without required Quality approval” or “LIMS transfers the correct numeric result with the wrong unit.”</w:t>
      </w:r>
    </w:p>
    <w:p>
      <w:r>
        <w:rPr>
          <w:b/>
        </w:rPr>
        <w:t>Step 4: Assess potential impact</w:t>
      </w:r>
      <w:r>
        <w:t xml:space="preserve"> — Consider the effect on product quality, patient safety, data integrity, regulated records, or compliance. The impact should follow from the failure scenario, not from the system name alone.</w:t>
      </w:r>
    </w:p>
    <w:p>
      <w:r>
        <w:rPr>
          <w:b/>
        </w:rPr>
        <w:t>Step 5: Review existing controls and evidence</w:t>
      </w:r>
      <w:r>
        <w:t xml:space="preserve"> — Identify controls already in place, such as role-based access, configuration rules, reconciliation, independent verification, supplier testing, automated tests, or process controls. Determine whether existing evidence is relevant and sufficient.</w:t>
      </w:r>
    </w:p>
    <w:p>
      <w:r>
        <w:rPr>
          <w:b/>
        </w:rPr>
        <w:t>Step 6: Determine remaining uncertainty</w:t>
      </w:r>
      <w:r>
        <w:t xml:space="preserve"> — Ask what is still not demonstrated. A strong supplier regression package may cover standard functions but leave local configuration or interfaces untested.</w:t>
      </w:r>
    </w:p>
    <w:p>
      <w:r>
        <w:rPr>
          <w:b/>
        </w:rPr>
        <w:t>Step 7: Select testing</w:t>
      </w:r>
      <w:r>
        <w:t xml:space="preserve"> — Choose scripted, unscripted, exploratory, automated, or a combination based on the risk and remaining uncertainty.</w:t>
      </w:r>
    </w:p>
    <w:p>
      <w:r>
        <w:rPr>
          <w:b/>
        </w:rPr>
        <w:t>Step 8: Document the conclusion</w:t>
      </w:r>
      <w:r>
        <w:t xml:space="preserve"> — Explain why the available evidence supports the intended use, note limitations or unresolved issues, and identify any conditions that would require reassessment.</w:t>
      </w:r>
    </w:p>
    <w:p>
      <w:pPr>
        <w:pStyle w:val="Heading1"/>
      </w:pPr>
      <w:r>
        <w:t>7. Worked Case 1: eQMS CAPA Workflow</w:t>
      </w:r>
    </w:p>
    <w:p>
      <w:r>
        <w:t>Situation: A configurable SaaS eQMS supports CAPA creation, investigation, Quality approval, electronic signature, and closure. The supplier provides regression-testing evidence for the standard platform. The organization has locally configured approval routing and role permissions.</w:t>
      </w:r>
    </w:p>
    <w:tbl>
      <w:tblPr>
        <w:tblStyle w:val="TableGrid"/>
        <w:tblW w:type="auto" w:w="0"/>
        <w:jc w:val="center"/>
        <w:tblLook w:firstColumn="1" w:firstRow="1" w:lastColumn="0" w:lastRow="0" w:noHBand="0" w:noVBand="1" w:val="04A0"/>
      </w:tblPr>
      <w:tblGrid>
        <w:gridCol w:w="1999"/>
        <w:gridCol w:w="1999"/>
        <w:gridCol w:w="1999"/>
        <w:gridCol w:w="1999"/>
        <w:gridCol w:w="1999"/>
      </w:tblGrid>
      <w:tr>
        <w:tc>
          <w:tcPr>
            <w:tcW w:type="dxa" w:w="1999"/>
          </w:tcPr>
          <w:p>
            <w:r>
              <w:t>Function</w:t>
            </w:r>
          </w:p>
        </w:tc>
        <w:tc>
          <w:tcPr>
            <w:tcW w:type="dxa" w:w="1999"/>
          </w:tcPr>
          <w:p>
            <w:r>
              <w:t>Failure scenario</w:t>
            </w:r>
          </w:p>
        </w:tc>
        <w:tc>
          <w:tcPr>
            <w:tcW w:type="dxa" w:w="1999"/>
          </w:tcPr>
          <w:p>
            <w:r>
              <w:t>Potential impact</w:t>
            </w:r>
          </w:p>
        </w:tc>
        <w:tc>
          <w:tcPr>
            <w:tcW w:type="dxa" w:w="1999"/>
          </w:tcPr>
          <w:p>
            <w:r>
              <w:t>Existing controls</w:t>
            </w:r>
          </w:p>
        </w:tc>
        <w:tc>
          <w:tcPr>
            <w:tcW w:type="dxa" w:w="1999"/>
          </w:tcPr>
          <w:p>
            <w:r>
              <w:t>Testing / evidence</w:t>
            </w:r>
          </w:p>
        </w:tc>
      </w:tr>
      <w:tr>
        <w:tc>
          <w:tcPr>
            <w:tcW w:type="dxa" w:w="1999"/>
          </w:tcPr>
          <w:p>
            <w:r>
              <w:t>CAPA approval</w:t>
            </w:r>
          </w:p>
        </w:tc>
        <w:tc>
          <w:tcPr>
            <w:tcW w:type="dxa" w:w="1999"/>
          </w:tcPr>
          <w:p>
            <w:r>
              <w:t>CAPA closes without required Quality approval</w:t>
            </w:r>
          </w:p>
        </w:tc>
        <w:tc>
          <w:tcPr>
            <w:tcW w:type="dxa" w:w="1999"/>
          </w:tcPr>
          <w:p>
            <w:r>
              <w:t>Incomplete CAPA may be treated as closed without required oversight</w:t>
            </w:r>
          </w:p>
        </w:tc>
        <w:tc>
          <w:tcPr>
            <w:tcW w:type="dxa" w:w="1999"/>
          </w:tcPr>
          <w:p>
            <w:r>
              <w:t>Workflow configuration; role permissions</w:t>
            </w:r>
          </w:p>
        </w:tc>
        <w:tc>
          <w:tcPr>
            <w:tcW w:type="dxa" w:w="1999"/>
          </w:tcPr>
          <w:p>
            <w:r>
              <w:t>Targeted scripted workflow test; negative permission test</w:t>
            </w:r>
          </w:p>
        </w:tc>
      </w:tr>
      <w:tr>
        <w:tc>
          <w:tcPr>
            <w:tcW w:type="dxa" w:w="1999"/>
          </w:tcPr>
          <w:p>
            <w:r>
              <w:t>Electronic signature</w:t>
            </w:r>
          </w:p>
        </w:tc>
        <w:tc>
          <w:tcPr>
            <w:tcW w:type="dxa" w:w="1999"/>
          </w:tcPr>
          <w:p>
            <w:r>
              <w:t>Signature is applied by unauthorized user</w:t>
            </w:r>
          </w:p>
        </w:tc>
        <w:tc>
          <w:tcPr>
            <w:tcW w:type="dxa" w:w="1999"/>
          </w:tcPr>
          <w:p>
            <w:r>
              <w:t>Approval attribution and record integrity may be compromised</w:t>
            </w:r>
          </w:p>
        </w:tc>
        <w:tc>
          <w:tcPr>
            <w:tcW w:type="dxa" w:w="1999"/>
          </w:tcPr>
          <w:p>
            <w:r>
              <w:t>Identity controls; signature configuration</w:t>
            </w:r>
          </w:p>
        </w:tc>
        <w:tc>
          <w:tcPr>
            <w:tcW w:type="dxa" w:w="1999"/>
          </w:tcPr>
          <w:p>
            <w:r>
              <w:t>Scripted signature and permission challenge</w:t>
            </w:r>
          </w:p>
        </w:tc>
      </w:tr>
      <w:tr>
        <w:tc>
          <w:tcPr>
            <w:tcW w:type="dxa" w:w="1999"/>
          </w:tcPr>
          <w:p>
            <w:r>
              <w:t>Reminder email</w:t>
            </w:r>
          </w:p>
        </w:tc>
        <w:tc>
          <w:tcPr>
            <w:tcW w:type="dxa" w:w="1999"/>
          </w:tcPr>
          <w:p>
            <w:r>
              <w:t>Reminder is delayed</w:t>
            </w:r>
          </w:p>
        </w:tc>
        <w:tc>
          <w:tcPr>
            <w:tcW w:type="dxa" w:w="1999"/>
          </w:tcPr>
          <w:p>
            <w:r>
              <w:t>Follow-up may be delayed, but approval control remains intact</w:t>
            </w:r>
          </w:p>
        </w:tc>
        <w:tc>
          <w:tcPr>
            <w:tcW w:type="dxa" w:w="1999"/>
          </w:tcPr>
          <w:p>
            <w:r>
              <w:t>Dashboard and due-date visibility</w:t>
            </w:r>
          </w:p>
        </w:tc>
        <w:tc>
          <w:tcPr>
            <w:tcW w:type="dxa" w:w="1999"/>
          </w:tcPr>
          <w:p>
            <w:r>
              <w:t>Focused functional or exploratory check</w:t>
            </w:r>
          </w:p>
        </w:tc>
      </w:tr>
    </w:tbl>
    <w:p>
      <w:r>
        <w:t>The supplier's regression evidence is relevant because it can demonstrate aspects of the standard workflow engine. It does not automatically demonstrate that the organization's locally configured approval paths and permissions remain correct. The local assessment therefore uses supplier evidence where applicable and adds targeted testing for the customer-specific GxP functions.</w:t>
      </w:r>
    </w:p>
    <w:p>
      <w:r>
        <w:t>Notice that the reminder email is not ignored. It is assessed according to its use and failure impact. If the email is merely a convenience and the user can see due tasks on the dashboard, a focused functional check may be enough. If the organization relies on the email as the only control for a critical deadline, the risk and testing decision would be different.</w:t>
      </w:r>
    </w:p>
    <w:p>
      <w:pPr>
        <w:jc w:val="center"/>
      </w:pPr>
      <w:r>
        <w:drawing>
          <wp:inline xmlns:a="http://schemas.openxmlformats.org/drawingml/2006/main" xmlns:pic="http://schemas.openxmlformats.org/drawingml/2006/picture">
            <wp:extent cx="6217920" cy="3989187"/>
            <wp:docPr id="3" name="Picture 3"/>
            <wp:cNvGraphicFramePr>
              <a:graphicFrameLocks noChangeAspect="1"/>
            </wp:cNvGraphicFramePr>
            <a:graphic>
              <a:graphicData uri="http://schemas.openxmlformats.org/drawingml/2006/picture">
                <pic:pic>
                  <pic:nvPicPr>
                    <pic:cNvPr id="0" name="figure3.png"/>
                    <pic:cNvPicPr/>
                  </pic:nvPicPr>
                  <pic:blipFill>
                    <a:blip r:embed="rId13"/>
                    <a:stretch>
                      <a:fillRect/>
                    </a:stretch>
                  </pic:blipFill>
                  <pic:spPr>
                    <a:xfrm>
                      <a:off x="0" y="0"/>
                      <a:ext cx="6217920" cy="3989187"/>
                    </a:xfrm>
                    <a:prstGeom prst="rect"/>
                  </pic:spPr>
                </pic:pic>
              </a:graphicData>
            </a:graphic>
          </wp:inline>
        </w:drawing>
      </w:r>
    </w:p>
    <w:p>
      <w:pPr>
        <w:pStyle w:val="Heading1"/>
      </w:pPr>
      <w:r>
        <w:t>8. Worked Case 2: Spreadsheet Used for Product Acceptance</w:t>
      </w:r>
    </w:p>
    <w:p>
      <w:r>
        <w:t>Situation: A controlled spreadsheet receives an assay result, applies a calculation, and determines whether the result meets an acceptance criterion. The spreadsheet contains formulas but no macros. A second person performs an independent review before product disposition.</w:t>
      </w:r>
    </w:p>
    <w:p>
      <w:r>
        <w:t>A weak assessment might conclude that the spreadsheet is low risk because it has no macros. That conclusion focuses on technology rather than intended use. The important question is what the spreadsheet is trusted to do. Here, the calculation contributes directly to an acceptance decision, so an incorrect formula, wrong rounding rule, or accidental formula overwrite could affect the regulated process.</w:t>
      </w:r>
    </w:p>
    <w:p>
      <w:r>
        <w:t>A risk-based assessment would identify the critical calculation, input controls, formula protection, rounding logic, boundary conditions, independent verification, version control, and change control. Testing should include normal cases and boundary values. If the acceptance criterion is less than or equal to 10.0 mg, testing only a value of 5.0 mg is weak. Values around the decision boundary, such as 9.9, 10.0, and 10.1 mg, provide stronger evidence.</w:t>
      </w:r>
    </w:p>
    <w:p>
      <w:r>
        <w:t>The independent verification is an important control, but it should not be assumed to eliminate all risk. The assessment should determine what the reviewer checks, whether the review is independent, and whether it would detect the relevant formula or rounding error.</w:t>
      </w:r>
    </w:p>
    <w:p>
      <w:pPr>
        <w:pStyle w:val="Heading1"/>
      </w:pPr>
      <w:r>
        <w:t>9. Selecting Testing Methods</w:t>
      </w:r>
    </w:p>
    <w:p>
      <w:r>
        <w:t>CSA recognizes that more than one testing method may be appropriate. The objective is to select a method that challenges the relevant failure scenario and produces evidence suitable for the validation conclusion.</w:t>
      </w:r>
    </w:p>
    <w:tbl>
      <w:tblPr>
        <w:tblStyle w:val="TableGrid"/>
        <w:tblW w:type="auto" w:w="0"/>
        <w:jc w:val="center"/>
        <w:tblLook w:firstColumn="1" w:firstRow="1" w:lastColumn="0" w:lastRow="0" w:noHBand="0" w:noVBand="1" w:val="04A0"/>
      </w:tblPr>
      <w:tblGrid>
        <w:gridCol w:w="3331"/>
        <w:gridCol w:w="3331"/>
        <w:gridCol w:w="3331"/>
      </w:tblGrid>
      <w:tr>
        <w:tc>
          <w:tcPr>
            <w:tcW w:type="dxa" w:w="3331"/>
          </w:tcPr>
          <w:p>
            <w:r>
              <w:t>Testing method</w:t>
            </w:r>
          </w:p>
        </w:tc>
        <w:tc>
          <w:tcPr>
            <w:tcW w:type="dxa" w:w="3331"/>
          </w:tcPr>
          <w:p>
            <w:r>
              <w:t>When it may be appropriate</w:t>
            </w:r>
          </w:p>
        </w:tc>
        <w:tc>
          <w:tcPr>
            <w:tcW w:type="dxa" w:w="3331"/>
          </w:tcPr>
          <w:p>
            <w:r>
              <w:t>Example</w:t>
            </w:r>
          </w:p>
        </w:tc>
      </w:tr>
      <w:tr>
        <w:tc>
          <w:tcPr>
            <w:tcW w:type="dxa" w:w="3331"/>
          </w:tcPr>
          <w:p>
            <w:r>
              <w:t>Detailed scripted testing</w:t>
            </w:r>
          </w:p>
        </w:tc>
        <w:tc>
          <w:tcPr>
            <w:tcW w:type="dxa" w:w="3331"/>
          </w:tcPr>
          <w:p>
            <w:r>
              <w:t>Deterministic behavior, higher-risk control, repeatability important</w:t>
            </w:r>
          </w:p>
        </w:tc>
        <w:tc>
          <w:tcPr>
            <w:tcW w:type="dxa" w:w="3331"/>
          </w:tcPr>
          <w:p>
            <w:r>
              <w:t>Electronic signature and approval permission</w:t>
            </w:r>
          </w:p>
        </w:tc>
      </w:tr>
      <w:tr>
        <w:tc>
          <w:tcPr>
            <w:tcW w:type="dxa" w:w="3331"/>
          </w:tcPr>
          <w:p>
            <w:r>
              <w:t>Targeted scripted testing</w:t>
            </w:r>
          </w:p>
        </w:tc>
        <w:tc>
          <w:tcPr>
            <w:tcW w:type="dxa" w:w="3331"/>
          </w:tcPr>
          <w:p>
            <w:r>
              <w:t>Specific changed or critical path needs predefined challenge</w:t>
            </w:r>
          </w:p>
        </w:tc>
        <w:tc>
          <w:tcPr>
            <w:tcW w:type="dxa" w:w="3331"/>
          </w:tcPr>
          <w:p>
            <w:r>
              <w:t>CAPA closure workflow after configuration change</w:t>
            </w:r>
          </w:p>
        </w:tc>
      </w:tr>
      <w:tr>
        <w:tc>
          <w:tcPr>
            <w:tcW w:type="dxa" w:w="3331"/>
          </w:tcPr>
          <w:p>
            <w:r>
              <w:t>Unscripted testing</w:t>
            </w:r>
          </w:p>
        </w:tc>
        <w:tc>
          <w:tcPr>
            <w:tcW w:type="dxa" w:w="3331"/>
          </w:tcPr>
          <w:p>
            <w:r>
              <w:t>Lower-risk function or flexible investigation where predefined steps add little value</w:t>
            </w:r>
          </w:p>
        </w:tc>
        <w:tc>
          <w:tcPr>
            <w:tcW w:type="dxa" w:w="3331"/>
          </w:tcPr>
          <w:p>
            <w:r>
              <w:t>Navigation and noncritical display checks</w:t>
            </w:r>
          </w:p>
        </w:tc>
      </w:tr>
      <w:tr>
        <w:tc>
          <w:tcPr>
            <w:tcW w:type="dxa" w:w="3331"/>
          </w:tcPr>
          <w:p>
            <w:r>
              <w:t>Exploratory testing</w:t>
            </w:r>
          </w:p>
        </w:tc>
        <w:tc>
          <w:tcPr>
            <w:tcW w:type="dxa" w:w="3331"/>
          </w:tcPr>
          <w:p>
            <w:r>
              <w:t>Complex workflows or exception paths benefit from tester investigation</w:t>
            </w:r>
          </w:p>
        </w:tc>
        <w:tc>
          <w:tcPr>
            <w:tcW w:type="dxa" w:w="3331"/>
          </w:tcPr>
          <w:p>
            <w:r>
              <w:t>Reassignment, returned approval, role changes, and workflow exceptions</w:t>
            </w:r>
          </w:p>
        </w:tc>
      </w:tr>
      <w:tr>
        <w:tc>
          <w:tcPr>
            <w:tcW w:type="dxa" w:w="3331"/>
          </w:tcPr>
          <w:p>
            <w:r>
              <w:t>Automated testing</w:t>
            </w:r>
          </w:p>
        </w:tc>
        <w:tc>
          <w:tcPr>
            <w:tcW w:type="dxa" w:w="3331"/>
          </w:tcPr>
          <w:p>
            <w:r>
              <w:t>Reliable existing automated tests cover relevant functions and results are reviewable</w:t>
            </w:r>
          </w:p>
        </w:tc>
        <w:tc>
          <w:tcPr>
            <w:tcW w:type="dxa" w:w="3331"/>
          </w:tcPr>
          <w:p>
            <w:r>
              <w:t>Regression tests for stable calculation logic</w:t>
            </w:r>
          </w:p>
        </w:tc>
      </w:tr>
      <w:tr>
        <w:tc>
          <w:tcPr>
            <w:tcW w:type="dxa" w:w="3331"/>
          </w:tcPr>
          <w:p>
            <w:r>
              <w:t>Combination</w:t>
            </w:r>
          </w:p>
        </w:tc>
        <w:tc>
          <w:tcPr>
            <w:tcW w:type="dxa" w:w="3331"/>
          </w:tcPr>
          <w:p>
            <w:r>
              <w:t>Different parts of the use have different risk and uncertainty</w:t>
            </w:r>
          </w:p>
        </w:tc>
        <w:tc>
          <w:tcPr>
            <w:tcW w:type="dxa" w:w="3331"/>
          </w:tcPr>
          <w:p>
            <w:r>
              <w:t>Scripted permissions plus exploratory workflow exception testing</w:t>
            </w:r>
          </w:p>
        </w:tc>
      </w:tr>
    </w:tbl>
    <w:p>
      <w:r>
        <w:rPr>
          <w:b/>
        </w:rPr>
        <w:t xml:space="preserve">Evidence reminder. </w:t>
      </w:r>
      <w:r>
        <w:t>Unscripted and exploratory testing still require adequate records. The absence of a detailed step-by-step script does not justify the absence of objective evidence.</w:t>
      </w:r>
    </w:p>
    <w:p>
      <w:pPr>
        <w:pStyle w:val="Heading1"/>
      </w:pPr>
      <w:r>
        <w:t>10. Validation Is a Lifecycle Activity</w:t>
      </w:r>
    </w:p>
    <w:p>
      <w:r>
        <w:t>A system does not remain acceptable merely because it passed testing before go-live. Software changes, supplier releases, new interfaces, incidents, permission changes, infrastructure changes, and new business uses can change the basis for the original conclusion.</w:t>
      </w:r>
    </w:p>
    <w:p>
      <w:r>
        <w:t>Maintaining the validated state therefore requires lifecycle controls. Change control should assess how a proposed change affects GxP functions and whether additional testing is needed. Incidents should be evaluated for potential impact on the validated state. User access should be reviewed against current job responsibilities. Backup and restore evidence should demonstrate that required records can actually be recovered and used, not only that a backup job completed. Periodic review should examine whether the approved intended use and controls remain appropriate.</w:t>
      </w:r>
    </w:p>
    <w:p>
      <w:r>
        <w:t>The lifecycle principle is important because CSA is not a one-time test-reduction exercise. Risk-based thinking should continue after release. If the intended use changes, a new critical interface is added, or the supplier changes the workflow engine, the organization should reassess the affected functions and the adequacy of existing evidence.</w:t>
      </w:r>
    </w:p>
    <w:p>
      <w:pPr>
        <w:pStyle w:val="Heading1"/>
      </w:pPr>
      <w:r>
        <w:t>11. Common Mistakes and Better Approaches</w:t>
      </w:r>
    </w:p>
    <w:tbl>
      <w:tblPr>
        <w:tblStyle w:val="TableGrid"/>
        <w:tblW w:type="auto" w:w="0"/>
        <w:jc w:val="center"/>
        <w:tblLook w:firstColumn="1" w:firstRow="1" w:lastColumn="0" w:lastRow="0" w:noHBand="0" w:noVBand="1" w:val="04A0"/>
      </w:tblPr>
      <w:tblGrid>
        <w:gridCol w:w="4997"/>
        <w:gridCol w:w="4997"/>
      </w:tblGrid>
      <w:tr>
        <w:tc>
          <w:tcPr>
            <w:tcW w:type="dxa" w:w="4997"/>
          </w:tcPr>
          <w:p>
            <w:r>
              <w:t>Common mistake</w:t>
            </w:r>
          </w:p>
        </w:tc>
        <w:tc>
          <w:tcPr>
            <w:tcW w:type="dxa" w:w="4997"/>
          </w:tcPr>
          <w:p>
            <w:r>
              <w:t>Better approach</w:t>
            </w:r>
          </w:p>
        </w:tc>
      </w:tr>
      <w:tr>
        <w:tc>
          <w:tcPr>
            <w:tcW w:type="dxa" w:w="4997"/>
          </w:tcPr>
          <w:p>
            <w:r>
              <w:t>Start with the document template.</w:t>
            </w:r>
          </w:p>
        </w:tc>
        <w:tc>
          <w:tcPr>
            <w:tcW w:type="dxa" w:w="4997"/>
          </w:tcPr>
          <w:p>
            <w:r>
              <w:t>Start with intended use and the regulated process.</w:t>
            </w:r>
          </w:p>
        </w:tc>
      </w:tr>
      <w:tr>
        <w:tc>
          <w:tcPr>
            <w:tcW w:type="dxa" w:w="4997"/>
          </w:tcPr>
          <w:p>
            <w:r>
              <w:t>Assign one risk level to the entire system.</w:t>
            </w:r>
          </w:p>
        </w:tc>
        <w:tc>
          <w:tcPr>
            <w:tcW w:type="dxa" w:w="4997"/>
          </w:tcPr>
          <w:p>
            <w:r>
              <w:t>Assess important GxP functions and credible failures.</w:t>
            </w:r>
          </w:p>
        </w:tc>
      </w:tr>
      <w:tr>
        <w:tc>
          <w:tcPr>
            <w:tcW w:type="dxa" w:w="4997"/>
          </w:tcPr>
          <w:p>
            <w:r>
              <w:t>Use test count as a measure of quality.</w:t>
            </w:r>
          </w:p>
        </w:tc>
        <w:tc>
          <w:tcPr>
            <w:tcW w:type="dxa" w:w="4997"/>
          </w:tcPr>
          <w:p>
            <w:r>
              <w:t>Evaluate whether testing covers the important failure scenarios.</w:t>
            </w:r>
          </w:p>
        </w:tc>
      </w:tr>
      <w:tr>
        <w:tc>
          <w:tcPr>
            <w:tcW w:type="dxa" w:w="4997"/>
          </w:tcPr>
          <w:p>
            <w:r>
              <w:t>Repeat all supplier testing.</w:t>
            </w:r>
          </w:p>
        </w:tc>
        <w:tc>
          <w:tcPr>
            <w:tcW w:type="dxa" w:w="4997"/>
          </w:tcPr>
          <w:p>
            <w:r>
              <w:t>Determine what supplier evidence applies and what gaps remain.</w:t>
            </w:r>
          </w:p>
        </w:tc>
      </w:tr>
      <w:tr>
        <w:tc>
          <w:tcPr>
            <w:tcW w:type="dxa" w:w="4997"/>
          </w:tcPr>
          <w:p>
            <w:r>
              <w:t>Use screenshots for every step.</w:t>
            </w:r>
          </w:p>
        </w:tc>
        <w:tc>
          <w:tcPr>
            <w:tcW w:type="dxa" w:w="4997"/>
          </w:tcPr>
          <w:p>
            <w:r>
              <w:t>Capture evidence that demonstrates the relevant result.</w:t>
            </w:r>
          </w:p>
        </w:tc>
      </w:tr>
      <w:tr>
        <w:tc>
          <w:tcPr>
            <w:tcW w:type="dxa" w:w="4997"/>
          </w:tcPr>
          <w:p>
            <w:r>
              <w:t>Treat exploratory testing as informal.</w:t>
            </w:r>
          </w:p>
        </w:tc>
        <w:tc>
          <w:tcPr>
            <w:tcW w:type="dxa" w:w="4997"/>
          </w:tcPr>
          <w:p>
            <w:r>
              <w:t>Define the objective and retain evidence of activities, observations, issues, and result.</w:t>
            </w:r>
          </w:p>
        </w:tc>
      </w:tr>
      <w:tr>
        <w:tc>
          <w:tcPr>
            <w:tcW w:type="dxa" w:w="4997"/>
          </w:tcPr>
          <w:p>
            <w:r>
              <w:t>Close validation at go-live.</w:t>
            </w:r>
          </w:p>
        </w:tc>
        <w:tc>
          <w:tcPr>
            <w:tcW w:type="dxa" w:w="4997"/>
          </w:tcPr>
          <w:p>
            <w:r>
              <w:t>Use lifecycle controls to maintain the validated state.</w:t>
            </w:r>
          </w:p>
        </w:tc>
      </w:tr>
    </w:tbl>
    <w:p>
      <w:pPr>
        <w:pStyle w:val="Heading1"/>
      </w:pPr>
      <w:r>
        <w:t>12. Practical Takeaway</w:t>
      </w:r>
    </w:p>
    <w:p>
      <w:pPr>
        <w:pStyle w:val="ListBullet"/>
      </w:pPr>
      <w:r>
        <w:t>Validation is about suitability for intended use, not document volume.</w:t>
      </w:r>
    </w:p>
    <w:p>
      <w:pPr>
        <w:pStyle w:val="ListBullet"/>
      </w:pPr>
      <w:r>
        <w:t>CSA applies critical thinking to decide where rigor is needed and what evidence is appropriate.</w:t>
      </w:r>
    </w:p>
    <w:p>
      <w:pPr>
        <w:pStyle w:val="ListBullet"/>
      </w:pPr>
      <w:r>
        <w:t>Risk should be assessed at a level that distinguishes important functions and credible failure scenarios.</w:t>
      </w:r>
    </w:p>
    <w:p>
      <w:pPr>
        <w:pStyle w:val="ListBullet"/>
      </w:pPr>
      <w:r>
        <w:t>Supplier evidence can be used when its relevance, reliability, scope, and limitations are understood.</w:t>
      </w:r>
    </w:p>
    <w:p>
      <w:pPr>
        <w:pStyle w:val="ListBullet"/>
      </w:pPr>
      <w:r>
        <w:t>Scripted, unscripted, exploratory, and automated testing are tools; the failure scenario and remaining uncertainty determine which are appropriate.</w:t>
      </w:r>
    </w:p>
    <w:p>
      <w:pPr>
        <w:pStyle w:val="ListBullet"/>
      </w:pPr>
      <w:r>
        <w:t>Validation continues after release through change control, incident assessment, access review, supplier oversight, periodic review, and other lifecycle controls.</w:t>
      </w:r>
    </w:p>
    <w:p>
      <w:pPr>
        <w:pStyle w:val="Heading1"/>
      </w:pPr>
      <w:r>
        <w:t>13. Knowledge Check</w:t>
      </w:r>
    </w:p>
    <w:p>
      <w:r>
        <w:t>Select the single best answer for each question. Answers and explanations follow the questions.</w:t>
      </w:r>
    </w:p>
    <w:p>
      <w:r>
        <w:rPr>
          <w:b/>
        </w:rPr>
        <w:t>1. Which statement best describes the purpose of CSA?</w:t>
      </w:r>
    </w:p>
    <w:p>
      <w:pPr>
        <w:pStyle w:val="ListBullet"/>
      </w:pPr>
      <w:r>
        <w:t>A. Reduce the number of validation documents regardless of risk.</w:t>
      </w:r>
    </w:p>
    <w:p>
      <w:pPr>
        <w:pStyle w:val="ListBullet"/>
      </w:pPr>
      <w:r>
        <w:t>B. Establish confidence in software through a risk-based selection of assurance activities.</w:t>
      </w:r>
    </w:p>
    <w:p>
      <w:pPr>
        <w:pStyle w:val="ListBullet"/>
      </w:pPr>
      <w:r>
        <w:t>C. Replace all scripted testing with exploratory testing.</w:t>
      </w:r>
    </w:p>
    <w:p>
      <w:pPr>
        <w:pStyle w:val="ListBullet"/>
      </w:pPr>
      <w:r>
        <w:t>D. Allow supplier validation to replace the regulated company’s assessment.</w:t>
      </w:r>
    </w:p>
    <w:p>
      <w:r>
        <w:rPr>
          <w:b/>
        </w:rPr>
        <w:t>2. An eQMS includes CAPA approval, electronic signatures, dashboard color settings, and email reminders. What is the best initial risk-assessment approach?</w:t>
      </w:r>
    </w:p>
    <w:p>
      <w:pPr>
        <w:pStyle w:val="ListBullet"/>
      </w:pPr>
      <w:r>
        <w:t>A. Assign one risk rating to the entire eQMS and apply the same testing depth everywhere.</w:t>
      </w:r>
    </w:p>
    <w:p>
      <w:pPr>
        <w:pStyle w:val="ListBullet"/>
      </w:pPr>
      <w:r>
        <w:t>B. Assess important functions and credible failure scenarios based on intended use and impact.</w:t>
      </w:r>
    </w:p>
    <w:p>
      <w:pPr>
        <w:pStyle w:val="ListBullet"/>
      </w:pPr>
      <w:r>
        <w:t>C. Test only the functions changed by the supplier, regardless of local configuration.</w:t>
      </w:r>
    </w:p>
    <w:p>
      <w:pPr>
        <w:pStyle w:val="ListBullet"/>
      </w:pPr>
      <w:r>
        <w:t>D. Treat all eQMS functions as equally critical because they are in the same application.</w:t>
      </w:r>
    </w:p>
    <w:p>
      <w:r>
        <w:rPr>
          <w:b/>
        </w:rPr>
        <w:t>3. A supplier provides regression-test evidence for its standard SaaS workflow engine. Your organization uses locally configured CAPA routing. What is the best conclusion?</w:t>
      </w:r>
    </w:p>
    <w:p>
      <w:pPr>
        <w:pStyle w:val="ListBullet"/>
      </w:pPr>
      <w:r>
        <w:t>A. Supplier evidence automatically proves the local configuration is acceptable.</w:t>
      </w:r>
    </w:p>
    <w:p>
      <w:pPr>
        <w:pStyle w:val="ListBullet"/>
      </w:pPr>
      <w:r>
        <w:t>B. Supplier evidence should be ignored because only local testing can be used.</w:t>
      </w:r>
    </w:p>
    <w:p>
      <w:pPr>
        <w:pStyle w:val="ListBullet"/>
      </w:pPr>
      <w:r>
        <w:t>C. Review supplier evidence for applicability and perform additional local testing where configuration-specific risk remains.</w:t>
      </w:r>
    </w:p>
    <w:p>
      <w:pPr>
        <w:pStyle w:val="ListBullet"/>
      </w:pPr>
      <w:r>
        <w:t>D. Full historical regression is always required after every SaaS release.</w:t>
      </w:r>
    </w:p>
    <w:p>
      <w:r>
        <w:rPr>
          <w:b/>
        </w:rPr>
        <w:t>4. Which statement about unscripted or exploratory testing is most accurate?</w:t>
      </w:r>
    </w:p>
    <w:p>
      <w:pPr>
        <w:pStyle w:val="ListBullet"/>
      </w:pPr>
      <w:r>
        <w:t>A. It is acceptable only for non-GxP software.</w:t>
      </w:r>
    </w:p>
    <w:p>
      <w:pPr>
        <w:pStyle w:val="ListBullet"/>
      </w:pPr>
      <w:r>
        <w:t>B. It requires no retained evidence because the tester uses professional judgment.</w:t>
      </w:r>
    </w:p>
    <w:p>
      <w:pPr>
        <w:pStyle w:val="ListBullet"/>
      </w:pPr>
      <w:r>
        <w:t>C. It can be appropriate when supported by an objective, qualified execution, observations, issue capture, and retained evidence.</w:t>
      </w:r>
    </w:p>
    <w:p>
      <w:pPr>
        <w:pStyle w:val="ListBullet"/>
      </w:pPr>
      <w:r>
        <w:t>D. It should replace scripted testing whenever the software is configurable.</w:t>
      </w:r>
    </w:p>
    <w:p>
      <w:r>
        <w:rPr>
          <w:b/>
        </w:rPr>
        <w:t>5. Which situation most clearly demonstrates the idea of maintaining the validated state?</w:t>
      </w:r>
    </w:p>
    <w:p>
      <w:pPr>
        <w:pStyle w:val="ListBullet"/>
      </w:pPr>
      <w:r>
        <w:t>A. Archiving the original validation protocol after go-live and taking no further action.</w:t>
      </w:r>
    </w:p>
    <w:p>
      <w:pPr>
        <w:pStyle w:val="ListBullet"/>
      </w:pPr>
      <w:r>
        <w:t>B. Repeating the original test package every month regardless of change.</w:t>
      </w:r>
    </w:p>
    <w:p>
      <w:pPr>
        <w:pStyle w:val="ListBullet"/>
      </w:pPr>
      <w:r>
        <w:t>C. Using change control, incident assessment, access review, supplier release assessment, and periodic review to confirm continued suitability.</w:t>
      </w:r>
    </w:p>
    <w:p>
      <w:pPr>
        <w:pStyle w:val="ListBullet"/>
      </w:pPr>
      <w:r>
        <w:t>D. Treating a successful backup job as sufficient evidence of system recovery.</w:t>
      </w:r>
    </w:p>
    <w:p>
      <w:pPr>
        <w:pStyle w:val="Heading2"/>
      </w:pPr>
      <w:r>
        <w:t>Knowledge Check Answers and Explanations</w:t>
      </w:r>
    </w:p>
    <w:p>
      <w:r>
        <w:rPr>
          <w:b/>
        </w:rPr>
        <w:t xml:space="preserve">1. B — </w:t>
      </w:r>
      <w:r>
        <w:t>CSA is a risk-based approach for establishing confidence that software is fit for intended use. Documentation reduction may occur when unnecessary activity is removed, but reducing documents is not the objective.</w:t>
      </w:r>
    </w:p>
    <w:p>
      <w:r>
        <w:rPr>
          <w:b/>
        </w:rPr>
        <w:t xml:space="preserve">2. B — </w:t>
      </w:r>
      <w:r>
        <w:t>The useful unit of analysis is the important function and its failure scenario. CAPA approval and electronic signature may require more rigorous assessment than a cosmetic dashboard setting or a noncritical reminder.</w:t>
      </w:r>
    </w:p>
    <w:p>
      <w:r>
        <w:rPr>
          <w:b/>
        </w:rPr>
        <w:t xml:space="preserve">3. C — </w:t>
      </w:r>
      <w:r>
        <w:t>Supplier evidence can support standard functionality, but local configuration may introduce additional risk or uncertainty. The organization should determine what the supplier evidence covers and add local testing where gaps remain.</w:t>
      </w:r>
    </w:p>
    <w:p>
      <w:r>
        <w:rPr>
          <w:b/>
        </w:rPr>
        <w:t xml:space="preserve">4. C — </w:t>
      </w:r>
      <w:r>
        <w:t>Unscripted and exploratory testing can be valid assurance activities when executed by qualified personnel and when adequate evidence is retained. They are not equivalent to undocumented testing.</w:t>
      </w:r>
    </w:p>
    <w:p>
      <w:r>
        <w:rPr>
          <w:b/>
        </w:rPr>
        <w:t xml:space="preserve">5. C — </w:t>
      </w:r>
      <w:r>
        <w:t>Maintaining the validated state is a lifecycle activity. Change control, incident assessment, access review, supplier oversight, restore evidence, and periodic review help confirm that the original validation conclusion remains supported over time.</w:t>
      </w:r>
    </w:p>
    <w:p>
      <w:pPr>
        <w:pStyle w:val="Heading1"/>
      </w:pPr>
      <w:r>
        <w:t>14. References</w:t>
      </w:r>
    </w:p>
    <w:p>
      <w:r>
        <w:t>1. U.S. Food and Drug Administration. Computer Software Assurance for Production and Quality Management System Software: Guidance for Industry and Food and Drug Administration Staff. Final guidance, February 2026.</w:t>
      </w:r>
    </w:p>
    <w:p>
      <w:r>
        <w:t>2. U.S. Food and Drug Administration. General Principles of Software Validation: Guidance for Industry and FDA Staff. Final guidance, January 2002.</w:t>
      </w:r>
    </w:p>
    <w:p>
      <w:r>
        <w:t>3. U.S. Food and Drug Administration. Quality Management System Regulation (QMSR). 21 CFR Part 820; QMSR effective February 2, 2026.</w:t>
      </w:r>
    </w:p>
    <w:p>
      <w:r>
        <w:t>4. ISO 13485:2016. Medical devices — Quality management systems — Requirements for regulatory purposes. Incorporated by reference into the FDA QMSR as applicable.</w:t>
      </w:r>
    </w:p>
    <w:p>
      <w:r>
        <w:t>5. 21 CFR Part 11. Electronic Records; Electronic Signatures. Apply as applicable to the electronic records and electronic signatures within the regulated process.</w:t>
      </w:r>
    </w:p>
    <w:p>
      <w:r>
        <w:t>6. Applicable company procedures for validation, change control, supplier management, data integrity, electronic records/signatures, access control, periodic review, and decommissioning.</w:t>
      </w:r>
    </w:p>
    <w:p>
      <w:r>
        <w:rPr>
          <w:b/>
        </w:rPr>
        <w:t xml:space="preserve">Source note: </w:t>
      </w:r>
      <w:r>
        <w:t>Regulatory and guidance references should be reviewed before each program revision. This module intentionally distinguishes regulatory or agency guidance from CSVtoCSA practitioner explanation and examples.</w:t>
      </w:r>
    </w:p>
    <w:p>
      <w:pPr>
        <w:pStyle w:val="Heading1"/>
      </w:pPr>
      <w:r>
        <w:t>Next Module</w:t>
      </w:r>
    </w:p>
    <w:p>
      <w:r>
        <w:rPr>
          <w:b/>
        </w:rPr>
        <w:t>Module 2: Intended Use and GxP Assessment</w:t>
      </w:r>
      <w:r>
        <w:t xml:space="preserve"> will develop intended-use statements, GxP applicability, system boundaries, regulated records, business-critical versus GxP-critical functions, and practical GxP assessment examples.</w:t>
      </w:r>
    </w:p>
    <w:sectPr w:rsidR="00FC693F" w:rsidRPr="0006063C" w:rsidSect="00034616">
      <w:footerReference w:type="default" r:id="rId9"/>
      <w:headerReference w:type="default" r:id="rId10"/>
      <w:pgSz w:w="12240" w:h="15840"/>
      <w:pgMar w:top="1008" w:right="1123" w:bottom="1008"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CSVtoCSA | Computer Software Assurance Foundations | Module 1</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6"/>
      </w:rPr>
      <w:t>CSVtoCSA • Practical Software Assurance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