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CSVtoCSA Certification Exam</w:t>
      </w:r>
    </w:p>
    <w:p>
      <w:pPr>
        <w:pStyle w:val="Subtitle"/>
      </w:pPr>
      <w:r>
        <w:t>Computer Software Assurance Foundations</w:t>
      </w:r>
    </w:p>
    <w:p>
      <w:r>
        <w:rPr>
          <w:color w:val="52616B"/>
          <w:sz w:val="18"/>
        </w:rPr>
        <w:t>FORM A  |  50 QUESTIONS  |  1.0 | 14 September 2026</w:t>
      </w:r>
    </w:p>
    <w:p>
      <w:r>
        <w:t>This assessment covers the ten curriculum modules. Select the single best answer for each question using the facts stated in the scenario. The questions assess interpretation and practical judgment, not a claim that one document template or testing method is universally required.</w:t>
      </w:r>
    </w:p>
    <w:p>
      <w:pPr>
        <w:pStyle w:val="Heading2"/>
      </w:pPr>
      <w:r>
        <w:t>Candidate details</w:t>
      </w:r>
    </w:p>
    <w:p>
      <w:r>
        <w:t>Name ______________________________________________________________</w:t>
      </w:r>
    </w:p>
    <w:p>
      <w:r>
        <w:t>Candidate ID ________________________________________________________</w:t>
      </w:r>
    </w:p>
    <w:p>
      <w:r>
        <w:t>Date _______________________  Assessor ________________________________</w:t>
      </w:r>
    </w:p>
    <w:p>
      <w:pPr>
        <w:pStyle w:val="Heading2"/>
      </w:pPr>
      <w:r>
        <w:t>Instructions</w:t>
      </w:r>
    </w:p>
    <w:p>
      <w:pPr>
        <w:pStyle w:val="ListBullet"/>
      </w:pPr>
      <w:r>
        <w:t>Suggested time: 75 minutes. Standard administration: closed book, with no AI or outside assistance. The assessor may announce an approved accommodation before the session.</w:t>
      </w:r>
    </w:p>
    <w:p>
      <w:pPr>
        <w:pStyle w:val="ListBullet"/>
      </w:pPr>
      <w:r>
        <w:t>Answer all 50 questions. Each question has four options and one best answer. Record one letter in the answer sheet or clearly circle one option.</w:t>
      </w:r>
    </w:p>
    <w:p>
      <w:pPr>
        <w:pStyle w:val="ListBullet"/>
      </w:pPr>
      <w:r>
        <w:t>Each correct answer earns one point. Incorrect, blank or multiple answers earn zero. There is no negative marking.</w:t>
      </w:r>
    </w:p>
    <w:p>
      <w:pPr>
        <w:pStyle w:val="ListBullet"/>
      </w:pPr>
      <w:r>
        <w:t>The proposed pass mark for this form is 40/50, or 80 percent. These are course settings, not regulatory thresholds.</w:t>
      </w:r>
    </w:p>
    <w:p>
      <w:pPr>
        <w:pStyle w:val="ListBullet"/>
      </w:pPr>
      <w:r>
        <w:t>Use the stated assumptions. Unless a question states otherwise, apply the organization's controlled procedures and consider the defined intended use.</w:t>
      </w:r>
    </w:p>
    <w:p>
      <w:pPr>
        <w:pStyle w:val="ListBullet"/>
      </w:pPr>
      <w:r>
        <w:t>Do not use the assessor answer key during the examination.</w:t>
      </w:r>
    </w:p>
    <w:p>
      <w:r>
        <w:t>Candidate declaration: I completed this assessment under the stated session conditions.</w:t>
      </w:r>
    </w:p>
    <w:p>
      <w:r>
        <w:t>Signature _________________________________  Date _____________________</w:t>
      </w:r>
    </w:p>
    <w:p>
      <w:r>
        <w:rPr>
          <w:color w:val="52616B"/>
          <w:sz w:val="18"/>
        </w:rPr>
        <w:t>CSVtoCSA educational assessment. A score does not itself approve a system or establish professional licensure or third-party accreditation.</w:t>
      </w:r>
    </w:p>
    <w:p>
      <w:r>
        <w:br w:type="page"/>
      </w:r>
    </w:p>
    <w:p>
      <w:r>
        <w:rPr>
          <w:color w:val="52616B"/>
          <w:sz w:val="18"/>
        </w:rPr>
        <w:t>FORM A  /  MODULE 01  /  QUESTIONS 1 TO 5</w:t>
      </w:r>
    </w:p>
    <w:p>
      <w:pPr>
        <w:pStyle w:val="Heading1"/>
      </w:pPr>
      <w:r>
        <w:rPr>
          <w:sz w:val="32"/>
        </w:rPr>
        <w:t>CSV and CSA Fundamentals</w:t>
      </w:r>
    </w:p>
    <w:p>
      <w:pPr>
        <w:keepNext/>
        <w:spacing w:before="120" w:after="80"/>
      </w:pPr>
      <w:r>
        <w:rPr>
          <w:b/>
        </w:rPr>
        <w:t>1. Which outcome best demonstrates successful software assurance?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A.  The team has replaced all scripted tests with exploratory sessions.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B.  The validation package contains the same number of scripts as last year.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C.  Evidence supports the defined intended use and addresses relevant failure risks.</w:t>
      </w:r>
    </w:p>
    <w:p>
      <w:pPr>
        <w:keepNext w:val="0"/>
        <w:spacing w:after="180" w:line="247" w:lineRule="auto"/>
        <w:ind w:left="259" w:hanging="259"/>
      </w:pPr>
      <w:r>
        <w:rPr>
          <w:sz w:val="21"/>
        </w:rPr>
        <w:t>D.  The supplier has confirmed that its platform is used by regulated customers.</w:t>
      </w:r>
    </w:p>
    <w:p>
      <w:pPr>
        <w:keepNext/>
        <w:spacing w:before="120" w:after="80"/>
      </w:pPr>
      <w:r>
        <w:rPr>
          <w:b/>
        </w:rPr>
        <w:t>2. An eQMS update changes approval routing and a personal display theme. Only routing controls CAPA closure. What is the most appropriate approach?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A.  Exclude both changes because the overall system was validated before go-live.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B.  Challenge routing controls rigorously and assess the theme with proportionate checks.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C.  Test only the theme because the supplier already tested the workflow engine.</w:t>
      </w:r>
    </w:p>
    <w:p>
      <w:pPr>
        <w:keepNext w:val="0"/>
        <w:spacing w:after="180" w:line="247" w:lineRule="auto"/>
        <w:ind w:left="259" w:hanging="259"/>
      </w:pPr>
      <w:r>
        <w:rPr>
          <w:sz w:val="21"/>
        </w:rPr>
        <w:t>D.  Use the same detailed protocol for routing and the personal display theme.</w:t>
      </w:r>
    </w:p>
    <w:p>
      <w:pPr>
        <w:keepNext/>
        <w:spacing w:before="120" w:after="80"/>
      </w:pPr>
      <w:r>
        <w:rPr>
          <w:b/>
        </w:rPr>
        <w:t>3. A team completes exploratory testing but records only "all passed." What is the principal evidence gap?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A.  The record lacks a screenshot for every click performed during the session.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B.  The tester must assign a numerical risk score to each mouse action.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C.  Exploratory testing is unacceptable unless repeated as a fully scripted protocol.</w:t>
      </w:r>
    </w:p>
    <w:p>
      <w:pPr>
        <w:keepNext w:val="0"/>
        <w:spacing w:after="180" w:line="247" w:lineRule="auto"/>
        <w:ind w:left="259" w:hanging="259"/>
      </w:pPr>
      <w:r>
        <w:rPr>
          <w:sz w:val="21"/>
        </w:rPr>
        <w:t>D.  The record does not show the objective, scope, observations, issues and conclusion.</w:t>
      </w:r>
    </w:p>
    <w:p>
      <w:pPr>
        <w:keepNext/>
        <w:spacing w:before="120" w:after="80"/>
      </w:pPr>
      <w:r>
        <w:rPr>
          <w:b/>
        </w:rPr>
        <w:t>4. A spreadsheet without macros calculates a result used for product acceptance. What should primarily drive its assurance?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A.  The absence of macros and the spreadsheet application market share.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B.  The software purchase price and the frequency of vendor security patches.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C.  The calculation use, failure impact, controls and remaining evidence gaps.</w:t>
      </w:r>
    </w:p>
    <w:p>
      <w:pPr>
        <w:keepNext w:val="0"/>
        <w:spacing w:after="180" w:line="247" w:lineRule="auto"/>
        <w:ind w:left="259" w:hanging="259"/>
      </w:pPr>
      <w:r>
        <w:rPr>
          <w:sz w:val="21"/>
        </w:rPr>
        <w:t>D.  The worksheet size and the number of people licensed to edit it.</w:t>
      </w:r>
    </w:p>
    <w:p>
      <w:pPr>
        <w:keepNext/>
        <w:spacing w:before="120" w:after="80"/>
      </w:pPr>
      <w:r>
        <w:rPr>
          <w:b/>
        </w:rPr>
        <w:t>5. A validated system will be used for a new product-disposition decision. The software version is unchanged. What should happen next?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A.  Wait for the next annual review before documenting the new decision process.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B.  Assess the new use and obtain evidence for affected functions before relying on it.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C.  Repeat every historical test without first identifying the changed use.</w:t>
      </w:r>
    </w:p>
    <w:p>
      <w:pPr>
        <w:keepNext w:val="0"/>
        <w:spacing w:after="180" w:line="247" w:lineRule="auto"/>
        <w:ind w:left="259" w:hanging="259"/>
      </w:pPr>
      <w:r>
        <w:rPr>
          <w:sz w:val="21"/>
        </w:rPr>
        <w:t>D.  Extend the existing approval because no software code or version changed.</w:t>
      </w:r>
    </w:p>
    <w:p>
      <w:r>
        <w:br w:type="page"/>
      </w:r>
    </w:p>
    <w:p>
      <w:r>
        <w:rPr>
          <w:color w:val="52616B"/>
          <w:sz w:val="18"/>
        </w:rPr>
        <w:t>FORM A  /  MODULE 02  /  QUESTIONS 6 TO 10</w:t>
      </w:r>
    </w:p>
    <w:p>
      <w:pPr>
        <w:pStyle w:val="Heading1"/>
      </w:pPr>
      <w:r>
        <w:rPr>
          <w:sz w:val="32"/>
        </w:rPr>
        <w:t>Intended Use and GxP Assessment</w:t>
      </w:r>
    </w:p>
    <w:p>
      <w:pPr>
        <w:keepNext/>
        <w:spacing w:before="120" w:after="80"/>
      </w:pPr>
      <w:r>
        <w:rPr>
          <w:b/>
        </w:rPr>
        <w:t>6. Which element is essential to a useful intended-use statement?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A.  The process and decision or record that rely on the software function.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B.  The technology brand and a statement that the system is cloud hosted.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C.  The complete list of functions advertised on the supplier website.</w:t>
      </w:r>
    </w:p>
    <w:p>
      <w:pPr>
        <w:keepNext w:val="0"/>
        <w:spacing w:after="180" w:line="247" w:lineRule="auto"/>
        <w:ind w:left="259" w:hanging="259"/>
      </w:pPr>
      <w:r>
        <w:rPr>
          <w:sz w:val="21"/>
        </w:rPr>
        <w:t>D.  The purchase price and contract renewal date for the application.</w:t>
      </w:r>
    </w:p>
    <w:p>
      <w:pPr>
        <w:keepNext/>
        <w:spacing w:before="120" w:after="80"/>
      </w:pPr>
      <w:r>
        <w:rPr>
          <w:b/>
        </w:rPr>
        <w:t>7. ComplianceWire records training completions. MES uses those data and enterprise roles to permit manufacturing work. What boundary is appropriate?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A.  Limit the assessment to the supplier hosting environment and service agreement.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B.  Include completion data, role mapping, the interface and the MES eligibility control.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C.  Limit the assessment to the ComplianceWire completion-entry screen.</w:t>
      </w:r>
    </w:p>
    <w:p>
      <w:pPr>
        <w:keepNext w:val="0"/>
        <w:spacing w:after="180" w:line="247" w:lineRule="auto"/>
        <w:ind w:left="259" w:hanging="259"/>
      </w:pPr>
      <w:r>
        <w:rPr>
          <w:sz w:val="21"/>
        </w:rPr>
        <w:t>D.  Exclude MES because it receives data instead of assigning the training.</w:t>
      </w:r>
    </w:p>
    <w:p>
      <w:pPr>
        <w:keepNext/>
        <w:spacing w:before="120" w:after="80"/>
      </w:pPr>
      <w:r>
        <w:rPr>
          <w:b/>
        </w:rPr>
        <w:t>8. An SAP function handles office stationery invoices only. It does not support regulated materials, records or decisions. What is the most defensible GxP conclusion?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A.  Exempt every SAP function because this one is limited to office purchases.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B.  Classify the function as GxP because payment failures are commercially important.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C.  Classify the function as GxP because SAP is enterprise resource planning software.</w:t>
      </w:r>
    </w:p>
    <w:p>
      <w:pPr>
        <w:keepNext w:val="0"/>
        <w:spacing w:after="180" w:line="247" w:lineRule="auto"/>
        <w:ind w:left="259" w:hanging="259"/>
      </w:pPr>
      <w:r>
        <w:rPr>
          <w:sz w:val="21"/>
        </w:rPr>
        <w:t>D.  Document a non-GxP rationale for this defined use and its exclusions.</w:t>
      </w:r>
    </w:p>
    <w:p>
      <w:pPr>
        <w:keepNext/>
        <w:spacing w:before="120" w:after="80"/>
      </w:pPr>
      <w:r>
        <w:rPr>
          <w:b/>
        </w:rPr>
        <w:t>9. An SFDC dashboard formerly used for workload planning becomes the sole basis for complaint escalation decisions. What should change?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A.  Reassess its intended use, data dependencies and controls for the new reliance.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B.  Classify every SFDC feature as equally critical to complaint decisions.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C.  Rely on the source-system assessment without evaluating dashboard calculations.</w:t>
      </w:r>
    </w:p>
    <w:p>
      <w:pPr>
        <w:keepNext w:val="0"/>
        <w:spacing w:after="180" w:line="247" w:lineRule="auto"/>
        <w:ind w:left="259" w:hanging="259"/>
      </w:pPr>
      <w:r>
        <w:rPr>
          <w:sz w:val="21"/>
        </w:rPr>
        <w:t>D.  Retain the original assessment because the dashboard code did not change.</w:t>
      </w:r>
    </w:p>
    <w:p>
      <w:pPr>
        <w:keepNext/>
        <w:spacing w:before="120" w:after="80"/>
      </w:pPr>
      <w:r>
        <w:rPr>
          <w:b/>
        </w:rPr>
        <w:t>10. Agile PLM controls GxP Quality documents and change approvals. What is the appropriate next step for Part 11 screening?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A.  Declare all Part 11 provisions applicable solely because the system is GxP.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B.  Exclude Part 11 because an approval page can be printed to paper.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C.  Identify applicable predicate records, electronic reliance and signature use separately.</w:t>
      </w:r>
    </w:p>
    <w:p>
      <w:pPr>
        <w:keepNext w:val="0"/>
        <w:spacing w:after="180" w:line="247" w:lineRule="auto"/>
        <w:ind w:left="259" w:hanging="259"/>
      </w:pPr>
      <w:r>
        <w:rPr>
          <w:sz w:val="21"/>
        </w:rPr>
        <w:t>D.  Assess signature controls only if the supplier describes the product as compliant.</w:t>
      </w:r>
    </w:p>
    <w:p>
      <w:r>
        <w:br w:type="page"/>
      </w:r>
    </w:p>
    <w:p>
      <w:r>
        <w:rPr>
          <w:color w:val="52616B"/>
          <w:sz w:val="18"/>
        </w:rPr>
        <w:t>FORM A  /  MODULE 03  /  QUESTIONS 11 TO 15</w:t>
      </w:r>
    </w:p>
    <w:p>
      <w:pPr>
        <w:pStyle w:val="Heading1"/>
      </w:pPr>
      <w:r>
        <w:rPr>
          <w:sz w:val="32"/>
        </w:rPr>
        <w:t>Requirements and Traceability</w:t>
      </w:r>
    </w:p>
    <w:p>
      <w:pPr>
        <w:keepNext/>
        <w:spacing w:before="120" w:after="80"/>
      </w:pPr>
      <w:r>
        <w:rPr>
          <w:b/>
        </w:rPr>
        <w:t>11. Which requirement is sufficiently specific to support a meaningful test?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A.  Block CAPA closure until the required Quality approval is complete.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B.  The CAPA workflow should be easy for Quality users to operate.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C.  The system must be compliant and perform reliably for all users.</w:t>
      </w:r>
    </w:p>
    <w:p>
      <w:pPr>
        <w:keepNext w:val="0"/>
        <w:spacing w:after="180" w:line="247" w:lineRule="auto"/>
        <w:ind w:left="259" w:hanging="259"/>
      </w:pPr>
      <w:r>
        <w:rPr>
          <w:sz w:val="21"/>
        </w:rPr>
        <w:t>D.  The application should support appropriate CAPA management functionality.</w:t>
      </w:r>
    </w:p>
    <w:p>
      <w:pPr>
        <w:keepNext/>
        <w:spacing w:before="120" w:after="80"/>
      </w:pPr>
      <w:r>
        <w:rPr>
          <w:b/>
        </w:rPr>
        <w:t>12. A requirement says, "The system supports approvals." What clarification most directly addresses unauthorized approval risk?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A.  Specify the approval-screen color and the preferred default window size.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B.  Require a screenshot of the home page for each approver account.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C.  Define authorized roles, approval prerequisites and prohibited approval paths.</w:t>
      </w:r>
    </w:p>
    <w:p>
      <w:pPr>
        <w:keepNext w:val="0"/>
        <w:spacing w:after="180" w:line="247" w:lineRule="auto"/>
        <w:ind w:left="259" w:hanging="259"/>
      </w:pPr>
      <w:r>
        <w:rPr>
          <w:sz w:val="21"/>
        </w:rPr>
        <w:t>D.  Reference the supplier brochure as the full acceptance criterion.</w:t>
      </w:r>
    </w:p>
    <w:p>
      <w:pPr>
        <w:keepNext/>
        <w:spacing w:before="120" w:after="80"/>
      </w:pPr>
      <w:r>
        <w:rPr>
          <w:b/>
        </w:rPr>
        <w:t>13. A test passes, but its referenced requirement was replaced after a configuration change. What should the reviewer do?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A.  Delete the old requirement so the test appears to reference the remaining record.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B.  Resolve the version linkage and assess whether evidence covers the current requirement.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C.  Keep the pass result because test execution occurred after the original approval.</w:t>
      </w:r>
    </w:p>
    <w:p>
      <w:pPr>
        <w:keepNext w:val="0"/>
        <w:spacing w:after="180" w:line="247" w:lineRule="auto"/>
        <w:ind w:left="259" w:hanging="259"/>
      </w:pPr>
      <w:r>
        <w:rPr>
          <w:sz w:val="21"/>
        </w:rPr>
        <w:t>D.  Accept the result if the tester remembers the intended requirement verbally.</w:t>
      </w:r>
    </w:p>
    <w:p>
      <w:pPr>
        <w:keepNext/>
        <w:spacing w:before="120" w:after="80"/>
      </w:pPr>
      <w:r>
        <w:rPr>
          <w:b/>
        </w:rPr>
        <w:t>14. LIMS sends a numeric result to ERP. The initial requirement defines the value but omits units and batch identity. What is missing?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A.  A requirement that every message must be reviewed by the software supplier.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B.  A requirement that both applications use identical database technologies.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C.  A requirement that network bandwidth exceeds all supplier recommendations.</w:t>
      </w:r>
    </w:p>
    <w:p>
      <w:pPr>
        <w:keepNext w:val="0"/>
        <w:spacing w:after="180" w:line="247" w:lineRule="auto"/>
        <w:ind w:left="259" w:hanging="259"/>
      </w:pPr>
      <w:r>
        <w:rPr>
          <w:sz w:val="21"/>
        </w:rPr>
        <w:t>D.  Requirements for meaning, mapping and association with the correct regulated record.</w:t>
      </w:r>
    </w:p>
    <w:p>
      <w:pPr>
        <w:keepNext/>
        <w:spacing w:before="120" w:after="80"/>
      </w:pPr>
      <w:r>
        <w:rPr>
          <w:b/>
        </w:rPr>
        <w:t>15. An RTM lists tests for every critical requirement, but two tests failed and deviations remain unresolved. What conclusion is justified?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A.  The failed tests can be removed because the other requirements passed.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B.  A high overall pass percentage is sufficient to close the two deviations.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C.  Traceability is complete, so the intended use is automatically acceptable.</w:t>
      </w:r>
    </w:p>
    <w:p>
      <w:pPr>
        <w:keepNext w:val="0"/>
        <w:spacing w:after="180" w:line="247" w:lineRule="auto"/>
        <w:ind w:left="259" w:hanging="259"/>
      </w:pPr>
      <w:r>
        <w:rPr>
          <w:sz w:val="21"/>
        </w:rPr>
        <w:t>D.  Coverage is visible, but acceptable performance and release readiness remain unproven.</w:t>
      </w:r>
    </w:p>
    <w:p>
      <w:r>
        <w:br w:type="page"/>
      </w:r>
    </w:p>
    <w:p>
      <w:r>
        <w:rPr>
          <w:color w:val="52616B"/>
          <w:sz w:val="18"/>
        </w:rPr>
        <w:t>FORM A  /  MODULE 04  /  QUESTIONS 16 TO 20</w:t>
      </w:r>
    </w:p>
    <w:p>
      <w:pPr>
        <w:pStyle w:val="Heading1"/>
      </w:pPr>
      <w:r>
        <w:rPr>
          <w:sz w:val="32"/>
        </w:rPr>
        <w:t>Functional Risk Assessment</w:t>
      </w:r>
    </w:p>
    <w:p>
      <w:pPr>
        <w:keepNext/>
        <w:spacing w:before="120" w:after="80"/>
      </w:pPr>
      <w:r>
        <w:rPr>
          <w:b/>
        </w:rPr>
        <w:t>16. Which is the most useful functional-risk statement?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A.  The application has many users and is difficult to administer.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B.  The MES is a high-risk system because manufacturing depends on it.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C.  Wrong role mapping permits an unqualified operator to start a manufacturing step.</w:t>
      </w:r>
    </w:p>
    <w:p>
      <w:pPr>
        <w:keepNext w:val="0"/>
        <w:spacing w:after="180" w:line="247" w:lineRule="auto"/>
        <w:ind w:left="259" w:hanging="259"/>
      </w:pPr>
      <w:r>
        <w:rPr>
          <w:sz w:val="21"/>
        </w:rPr>
        <w:t>D.  The software might fail and therefore requires extensive validation.</w:t>
      </w:r>
    </w:p>
    <w:p>
      <w:pPr>
        <w:keepNext/>
        <w:spacing w:before="120" w:after="80"/>
      </w:pPr>
      <w:r>
        <w:rPr>
          <w:b/>
        </w:rPr>
        <w:t>17. A workflow blocks closure without approval; a later review checks the change history. How should these controls be classified?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A.  Both controls are preventive because they are documented in procedures.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B.  Neither is a control unless it removes the need for software testing.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C.  The closure block is preventive; the later history review is detective.</w:t>
      </w:r>
    </w:p>
    <w:p>
      <w:pPr>
        <w:keepNext w:val="0"/>
        <w:spacing w:after="180" w:line="247" w:lineRule="auto"/>
        <w:ind w:left="259" w:hanging="259"/>
      </w:pPr>
      <w:r>
        <w:rPr>
          <w:sz w:val="21"/>
        </w:rPr>
        <w:t>D.  The closure block is detective; the later history review is preventive.</w:t>
      </w:r>
    </w:p>
    <w:p>
      <w:pPr>
        <w:keepNext/>
        <w:spacing w:before="120" w:after="80"/>
      </w:pPr>
      <w:r>
        <w:rPr>
          <w:b/>
        </w:rPr>
        <w:t>18. A calculation error is said to be low risk because a person reviews the output. What evidence matters most before crediting that control?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A.  The reviewer can independently detect representative errors before the decision is used.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B.  The reviewer has an account and has clicked the training acknowledgement.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C.  The system displays the calculated value in a second location on screen.</w:t>
      </w:r>
    </w:p>
    <w:p>
      <w:pPr>
        <w:keepNext w:val="0"/>
        <w:spacing w:after="180" w:line="247" w:lineRule="auto"/>
        <w:ind w:left="259" w:hanging="259"/>
      </w:pPr>
      <w:r>
        <w:rPr>
          <w:sz w:val="21"/>
        </w:rPr>
        <w:t>D.  The review procedure contains the words independent verification.</w:t>
      </w:r>
    </w:p>
    <w:p>
      <w:pPr>
        <w:keepNext/>
        <w:spacing w:before="120" w:after="80"/>
      </w:pPr>
      <w:r>
        <w:rPr>
          <w:b/>
        </w:rPr>
        <w:t>19. A critical failure receives a low risk score because the team estimates it is unlikely, but no supporting data exist. What is the best response?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A.  Record the uncertainty, challenge the estimate and select justified controls and evidence.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B.  Accept the low score because a completed risk matrix is objective evidence.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C.  Remove the failure from scope because its frequency cannot be calculated.</w:t>
      </w:r>
    </w:p>
    <w:p>
      <w:pPr>
        <w:keepNext w:val="0"/>
        <w:spacing w:after="180" w:line="247" w:lineRule="auto"/>
        <w:ind w:left="259" w:hanging="259"/>
      </w:pPr>
      <w:r>
        <w:rPr>
          <w:sz w:val="21"/>
        </w:rPr>
        <w:t>D.  Lower severity until the score fits the planned testing budget.</w:t>
      </w:r>
    </w:p>
    <w:p>
      <w:pPr>
        <w:keepNext/>
        <w:spacing w:before="120" w:after="80"/>
      </w:pPr>
      <w:r>
        <w:rPr>
          <w:b/>
        </w:rPr>
        <w:t>20. An interface may silently drop approved batch results; a dashboard preference may reset. How should additional assurance be prioritized?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A.  Prioritize the preference because users will notice it more frequently.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B.  Test only the interface transport connection and ignore record completeness.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C.  Prioritize transfer integrity and reconciliation while assessing the preference proportionately.</w:t>
      </w:r>
    </w:p>
    <w:p>
      <w:pPr>
        <w:keepNext w:val="0"/>
        <w:spacing w:after="180" w:line="247" w:lineRule="auto"/>
        <w:ind w:left="259" w:hanging="259"/>
      </w:pPr>
      <w:r>
        <w:rPr>
          <w:sz w:val="21"/>
        </w:rPr>
        <w:t>D.  Apply identical testing solely because both functions are in the same system.</w:t>
      </w:r>
    </w:p>
    <w:p>
      <w:r>
        <w:br w:type="page"/>
      </w:r>
    </w:p>
    <w:p>
      <w:r>
        <w:rPr>
          <w:color w:val="52616B"/>
          <w:sz w:val="18"/>
        </w:rPr>
        <w:t>FORM A  /  MODULE 05  /  QUESTIONS 21 TO 25</w:t>
      </w:r>
    </w:p>
    <w:p>
      <w:pPr>
        <w:pStyle w:val="Heading1"/>
      </w:pPr>
      <w:r>
        <w:rPr>
          <w:sz w:val="32"/>
        </w:rPr>
        <w:t>Risk Based Testing</w:t>
      </w:r>
    </w:p>
    <w:p>
      <w:pPr>
        <w:keepNext/>
        <w:spacing w:before="120" w:after="80"/>
      </w:pPr>
      <w:r>
        <w:rPr>
          <w:b/>
        </w:rPr>
        <w:t>21. Which statement correctly describes exploratory testing?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A.  It combines learning and investigation with a defined objective and recorded evidence.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B.  It consists of random actions whose results do not need to be retained.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C.  It can replace every deterministic challenge for a critical permission control.</w:t>
      </w:r>
    </w:p>
    <w:p>
      <w:pPr>
        <w:keepNext w:val="0"/>
        <w:spacing w:after="180" w:line="247" w:lineRule="auto"/>
        <w:ind w:left="259" w:hanging="259"/>
      </w:pPr>
      <w:r>
        <w:rPr>
          <w:sz w:val="21"/>
        </w:rPr>
        <w:t>D.  It is acceptable only after every action has been written as a fixed script.</w:t>
      </w:r>
    </w:p>
    <w:p>
      <w:pPr>
        <w:keepNext/>
        <w:spacing w:before="120" w:after="80"/>
      </w:pPr>
      <w:r>
        <w:rPr>
          <w:b/>
        </w:rPr>
        <w:t>22. An approved rule accepts values less than or equal to 10.0 mg. Inputs have one decimal place and no rounding is applied. Which set directly challenges the boundary?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A.  10.0 mg, 20.0 mg and 30.0 mg, expecting all three to be rejected.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B.  9.9 mg, 10.0 mg and 10.1 mg, expecting accept, accept and reject.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C.  0.0 mg, 5.0 mg and 15.0 mg, without specifying expected results.</w:t>
      </w:r>
    </w:p>
    <w:p>
      <w:pPr>
        <w:keepNext w:val="0"/>
        <w:spacing w:after="180" w:line="247" w:lineRule="auto"/>
        <w:ind w:left="259" w:hanging="259"/>
      </w:pPr>
      <w:r>
        <w:rPr>
          <w:sz w:val="21"/>
        </w:rPr>
        <w:t>D.  1.0 mg, 5.0 mg and 9.0 mg, expecting all three to be accepted.</w:t>
      </w:r>
    </w:p>
    <w:p>
      <w:pPr>
        <w:keepNext/>
        <w:spacing w:before="120" w:after="80"/>
      </w:pPr>
      <w:r>
        <w:rPr>
          <w:b/>
        </w:rPr>
        <w:t>23. Only Quality Approvers may close a CAPA. Which test most directly challenges the permission requirement?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A.  Check that a supplier administrator can log into its own test environment.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B.  Attempt closure as an unauthorized role and verify denial with the record unchanged.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C.  Verify that the closure button uses the configured company color.</w:t>
      </w:r>
    </w:p>
    <w:p>
      <w:pPr>
        <w:keepNext w:val="0"/>
        <w:spacing w:after="180" w:line="247" w:lineRule="auto"/>
        <w:ind w:left="259" w:hanging="259"/>
      </w:pPr>
      <w:r>
        <w:rPr>
          <w:sz w:val="21"/>
        </w:rPr>
        <w:t>D.  Confirm that a Quality Approver can open the application home page.</w:t>
      </w:r>
    </w:p>
    <w:p>
      <w:pPr>
        <w:keepNext/>
        <w:spacing w:before="120" w:after="80"/>
      </w:pPr>
      <w:r>
        <w:rPr>
          <w:b/>
        </w:rPr>
        <w:t>24. An automated regression run is green, but it used an older approval configuration. What should the team do?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A.  Assess applicability and run or obtain evidence for the changed configuration and risks.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B.  Accept the green status because automated evidence is inherently reliable.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C.  Discard all automated testing and repeat every check manually from the beginning.</w:t>
      </w:r>
    </w:p>
    <w:p>
      <w:pPr>
        <w:keepNext w:val="0"/>
        <w:spacing w:after="180" w:line="247" w:lineRule="auto"/>
        <w:ind w:left="259" w:hanging="259"/>
      </w:pPr>
      <w:r>
        <w:rPr>
          <w:sz w:val="21"/>
        </w:rPr>
        <w:t>D.  Change the report label to the new configuration without repeating any checks.</w:t>
      </w:r>
    </w:p>
    <w:p>
      <w:pPr>
        <w:keepNext/>
        <w:spacing w:before="120" w:after="80"/>
      </w:pPr>
      <w:r>
        <w:rPr>
          <w:b/>
        </w:rPr>
        <w:t>25. A SaaS release changes shared identity-role mapping. Which regression scope is most appropriate?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A.  Assess dependent permissions, approvals, signatures and interfaces using the changed mapping.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B.  Exclude approval workflows because their screen layouts have not changed.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C.  Test only a new user account and assume existing role assignments are unaffected.</w:t>
      </w:r>
    </w:p>
    <w:p>
      <w:pPr>
        <w:keepNext w:val="0"/>
        <w:spacing w:after="180" w:line="247" w:lineRule="auto"/>
        <w:ind w:left="259" w:hanging="259"/>
      </w:pPr>
      <w:r>
        <w:rPr>
          <w:sz w:val="21"/>
        </w:rPr>
        <w:t>D.  Test only the identity settings page named in the release notes.</w:t>
      </w:r>
    </w:p>
    <w:p>
      <w:r>
        <w:br w:type="page"/>
      </w:r>
    </w:p>
    <w:p>
      <w:r>
        <w:rPr>
          <w:color w:val="52616B"/>
          <w:sz w:val="18"/>
        </w:rPr>
        <w:t>FORM A  /  MODULE 06  /  QUESTIONS 26 TO 30</w:t>
      </w:r>
    </w:p>
    <w:p>
      <w:pPr>
        <w:pStyle w:val="Heading1"/>
      </w:pPr>
      <w:r>
        <w:rPr>
          <w:sz w:val="32"/>
        </w:rPr>
        <w:t>Supplier Assessment and Existing Evidence</w:t>
      </w:r>
    </w:p>
    <w:p>
      <w:pPr>
        <w:keepNext/>
        <w:spacing w:before="120" w:after="80"/>
      </w:pPr>
      <w:r>
        <w:rPr>
          <w:b/>
        </w:rPr>
        <w:t>26. What is the key distinction between supplier qualification and customer validation?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A.  Qualification is performed only for on-premises software; validation only for SaaS.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B.  Qualification assesses supplier capability; validation addresses the customer intended use.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C.  Qualification replaces the need to evaluate local configurations and interfaces.</w:t>
      </w:r>
    </w:p>
    <w:p>
      <w:pPr>
        <w:keepNext w:val="0"/>
        <w:spacing w:after="180" w:line="247" w:lineRule="auto"/>
        <w:ind w:left="259" w:hanging="259"/>
      </w:pPr>
      <w:r>
        <w:rPr>
          <w:sz w:val="21"/>
        </w:rPr>
        <w:t>D.  Qualification and validation are interchangeable once a supplier is widely used.</w:t>
      </w:r>
    </w:p>
    <w:p>
      <w:pPr>
        <w:keepNext/>
        <w:spacing w:before="120" w:after="80"/>
      </w:pPr>
      <w:r>
        <w:rPr>
          <w:b/>
        </w:rPr>
        <w:t>27. A SaaS supplier provides a current SOC report and ISO certificate but no evidence for the customer CAPA routing. What do these documents establish?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A.  No useful information because only locally executed tests can support assurance.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B.  Proof that electronic records automatically meet all Part 11 provisions.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C.  Proof that the customer CAPA workflow meets every approved requirement.</w:t>
      </w:r>
    </w:p>
    <w:p>
      <w:pPr>
        <w:keepNext w:val="0"/>
        <w:spacing w:after="180" w:line="247" w:lineRule="auto"/>
        <w:ind w:left="259" w:hanging="259"/>
      </w:pPr>
      <w:r>
        <w:rPr>
          <w:sz w:val="21"/>
        </w:rPr>
        <w:t>D.  Evidence within their stated scope, with local workflow assurance still to be addressed.</w:t>
      </w:r>
    </w:p>
    <w:p>
      <w:pPr>
        <w:keepNext/>
        <w:spacing w:before="120" w:after="80"/>
      </w:pPr>
      <w:r>
        <w:rPr>
          <w:b/>
        </w:rPr>
        <w:t>28. Supplier regression evidence covers the standard workflow engine on the deployed version. What is the best next step?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A.  Ignore the evidence because the tests were executed outside the customer site.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B.  Map it to relevant claims and identify gaps in local routing, permissions and interfaces.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C.  Repeat all supplier tests before considering the customer configuration.</w:t>
      </w:r>
    </w:p>
    <w:p>
      <w:pPr>
        <w:keepNext w:val="0"/>
        <w:spacing w:after="180" w:line="247" w:lineRule="auto"/>
        <w:ind w:left="259" w:hanging="259"/>
      </w:pPr>
      <w:r>
        <w:rPr>
          <w:sz w:val="21"/>
        </w:rPr>
        <w:t>D.  Adopt the supplier test summary as the complete local release decision.</w:t>
      </w:r>
    </w:p>
    <w:p>
      <w:pPr>
        <w:keepNext/>
        <w:spacing w:before="120" w:after="80"/>
      </w:pPr>
      <w:r>
        <w:rPr>
          <w:b/>
        </w:rPr>
        <w:t>29. The supplier backs up a SaaS database, while the customer owns retention rules and record retrieval. What should the agreement and assurance plan clarify?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A.  That a supplier backup-success message is the final customer recovery acceptance.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B.  Recovery scope, responsibilities, evidence access and verification of usable required records.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C.  That all retention responsibility transfers to the supplier after contract signature.</w:t>
      </w:r>
    </w:p>
    <w:p>
      <w:pPr>
        <w:keepNext w:val="0"/>
        <w:spacing w:after="180" w:line="247" w:lineRule="auto"/>
        <w:ind w:left="259" w:hanging="259"/>
      </w:pPr>
      <w:r>
        <w:rPr>
          <w:sz w:val="21"/>
        </w:rPr>
        <w:t>D.  That customer retrieval checks are unnecessary when the service meets uptime targets.</w:t>
      </w:r>
    </w:p>
    <w:p>
      <w:pPr>
        <w:keepNext/>
        <w:spacing w:before="120" w:after="80"/>
      </w:pPr>
      <w:r>
        <w:rPr>
          <w:b/>
        </w:rPr>
        <w:t>30. A supplier will not provide detailed test records for a critical locally configured function. What is the strongest response?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A.  Assume the function is low risk because evidence cannot be obtained.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B.  Record the supplier statement as equivalent to detailed objective evidence.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C.  Remove the function from intended use while continuing to rely on it operationally.</w:t>
      </w:r>
    </w:p>
    <w:p>
      <w:pPr>
        <w:keepNext w:val="0"/>
        <w:spacing w:after="180" w:line="247" w:lineRule="auto"/>
        <w:ind w:left="259" w:hanging="259"/>
      </w:pPr>
      <w:r>
        <w:rPr>
          <w:sz w:val="21"/>
        </w:rPr>
        <w:t>D.  Document the limitation, assess alternatives and perform justified local assurance for the gap.</w:t>
      </w:r>
    </w:p>
    <w:p>
      <w:r>
        <w:br w:type="page"/>
      </w:r>
    </w:p>
    <w:p>
      <w:r>
        <w:rPr>
          <w:color w:val="52616B"/>
          <w:sz w:val="18"/>
        </w:rPr>
        <w:t>FORM A  /  MODULE 07  /  QUESTIONS 31 TO 35</w:t>
      </w:r>
    </w:p>
    <w:p>
      <w:pPr>
        <w:pStyle w:val="Heading1"/>
      </w:pPr>
      <w:r>
        <w:rPr>
          <w:sz w:val="32"/>
        </w:rPr>
        <w:t>Data Integrity and Electronic Records and Signatures</w:t>
      </w:r>
    </w:p>
    <w:p>
      <w:pPr>
        <w:keepNext/>
        <w:spacing w:before="120" w:after="80"/>
      </w:pPr>
      <w:r>
        <w:rPr>
          <w:b/>
        </w:rPr>
        <w:t>31. Which statement is correct when screening Part 11 electronic records and signatures?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A.  A password-protected login does not by itself establish an electronic-signature act.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B.  Printing an electronic record always removes it from Part 11 consideration.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C.  Every GxP application automatically uses electronic signatures whenever users log in.</w:t>
      </w:r>
    </w:p>
    <w:p>
      <w:pPr>
        <w:keepNext w:val="0"/>
        <w:spacing w:after="180" w:line="247" w:lineRule="auto"/>
        <w:ind w:left="259" w:hanging="259"/>
      </w:pPr>
      <w:r>
        <w:rPr>
          <w:sz w:val="21"/>
        </w:rPr>
        <w:t>D.  Supplier marketing statements determine which predicate records apply to a customer.</w:t>
      </w:r>
    </w:p>
    <w:p>
      <w:pPr>
        <w:keepNext/>
        <w:spacing w:before="120" w:after="80"/>
      </w:pPr>
      <w:r>
        <w:rPr>
          <w:b/>
        </w:rPr>
        <w:t>32. A user changes a CAPA criticality from High to Low. What evidence best supports the change-history control?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A.  A screenshot of the new Low value without identifying the prior value or user.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B.  Authorized access and retained user, time, old and new values, plus required reason.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C.  A server uptime report covering the day on which the record was modified.</w:t>
      </w:r>
    </w:p>
    <w:p>
      <w:pPr>
        <w:keepNext w:val="0"/>
        <w:spacing w:after="180" w:line="247" w:lineRule="auto"/>
        <w:ind w:left="259" w:hanging="259"/>
      </w:pPr>
      <w:r>
        <w:rPr>
          <w:sz w:val="21"/>
        </w:rPr>
        <w:t>D.  A policy stating that users should avoid changing criticality after creation.</w:t>
      </w:r>
    </w:p>
    <w:p>
      <w:pPr>
        <w:keepNext/>
        <w:spacing w:before="120" w:after="80"/>
      </w:pPr>
      <w:r>
        <w:rPr>
          <w:b/>
        </w:rPr>
        <w:t>33. A signed approval record is exported. Which behavior should be verified for its signature representation?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A.  The signer, signing date and time, and meaning remain associated with the record.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B.  The exported record shows a login timestamp in place of the signing event.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C.  Only the image of a handwritten signature is retained in the exported file.</w:t>
      </w:r>
    </w:p>
    <w:p>
      <w:pPr>
        <w:keepNext w:val="0"/>
        <w:spacing w:after="180" w:line="247" w:lineRule="auto"/>
        <w:ind w:left="259" w:hanging="259"/>
      </w:pPr>
      <w:r>
        <w:rPr>
          <w:sz w:val="21"/>
        </w:rPr>
        <w:t>D.  The signer information can be copied independently to another approval record.</w:t>
      </w:r>
    </w:p>
    <w:p>
      <w:pPr>
        <w:keepNext/>
        <w:spacing w:before="120" w:after="80"/>
      </w:pPr>
      <w:r>
        <w:rPr>
          <w:b/>
        </w:rPr>
        <w:t>34. A migration preserves final report PDFs but omits original data and metadata needed to reconstruct regulated results. What is the principal concern?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A.  Only the number of PDF files matters when demonstrating successful retention.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B.  The retained package may be incomplete for the regulated record and its intended use.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C.  The records are acceptable because PDFs are always equivalent to source records.</w:t>
      </w:r>
    </w:p>
    <w:p>
      <w:pPr>
        <w:keepNext w:val="0"/>
        <w:spacing w:after="180" w:line="247" w:lineRule="auto"/>
        <w:ind w:left="259" w:hanging="259"/>
      </w:pPr>
      <w:r>
        <w:rPr>
          <w:sz w:val="21"/>
        </w:rPr>
        <w:t>D.  The migration is acceptable if the filenames match the original report titles.</w:t>
      </w:r>
    </w:p>
    <w:p>
      <w:pPr>
        <w:keepNext/>
        <w:spacing w:before="120" w:after="80"/>
      </w:pPr>
      <w:r>
        <w:rPr>
          <w:b/>
        </w:rPr>
        <w:t>35. Several Quality reviewers share one account for approving controlled changes. What risk most directly follows?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A.  Approval attribution and accountability cannot reliably identify the individual reviewer.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B.  The system can no longer produce any electronic record in a readable format.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C.  The shared account necessarily changes the calculation algorithm used by the system.</w:t>
      </w:r>
    </w:p>
    <w:p>
      <w:pPr>
        <w:keepNext w:val="0"/>
        <w:spacing w:after="180" w:line="247" w:lineRule="auto"/>
        <w:ind w:left="259" w:hanging="259"/>
      </w:pPr>
      <w:r>
        <w:rPr>
          <w:sz w:val="21"/>
        </w:rPr>
        <w:t>D.  The shared account prevents supplier infrastructure backups from completing.</w:t>
      </w:r>
    </w:p>
    <w:p>
      <w:r>
        <w:br w:type="page"/>
      </w:r>
    </w:p>
    <w:p>
      <w:r>
        <w:rPr>
          <w:color w:val="52616B"/>
          <w:sz w:val="18"/>
        </w:rPr>
        <w:t>FORM A  /  MODULE 08  /  QUESTIONS 36 TO 40</w:t>
      </w:r>
    </w:p>
    <w:p>
      <w:pPr>
        <w:pStyle w:val="Heading1"/>
      </w:pPr>
      <w:r>
        <w:rPr>
          <w:sz w:val="32"/>
        </w:rPr>
        <w:t>SaaS Interfaces and Data Migration</w:t>
      </w:r>
    </w:p>
    <w:p>
      <w:pPr>
        <w:keepNext/>
        <w:spacing w:before="120" w:after="80"/>
      </w:pPr>
      <w:r>
        <w:rPr>
          <w:b/>
        </w:rPr>
        <w:t>36. Why is matching the source and target record count insufficient to verify a migration?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A.  Record counts are irrelevant and should never be included in migration evidence.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B.  Equal counts prove completeness, accuracy, readability and signature linkage.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C.  Migration verification is required only when the target uses a different supplier.</w:t>
      </w:r>
    </w:p>
    <w:p>
      <w:pPr>
        <w:keepNext w:val="0"/>
        <w:spacing w:after="180" w:line="247" w:lineRule="auto"/>
        <w:ind w:left="259" w:hanging="259"/>
      </w:pPr>
      <w:r>
        <w:rPr>
          <w:sz w:val="21"/>
        </w:rPr>
        <w:t>D.  Equal counts can conceal wrong values, missing metadata, duplicates and broken relationships.</w:t>
      </w:r>
    </w:p>
    <w:p>
      <w:pPr>
        <w:keepNext/>
        <w:spacing w:before="120" w:after="80"/>
      </w:pPr>
      <w:r>
        <w:rPr>
          <w:b/>
        </w:rPr>
        <w:t>37. A LIMS-to-ERP transfer sends 0.5 g as 0.5 mg for the correct batch. The transport reports success. What failed?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A.  The transport connection failed because its success status must be incorrect.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B.  Nothing failed because the numeric value and batch identity were transferred.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C.  The interface failed to preserve the result meaning through unit mapping or conversion.</w:t>
      </w:r>
    </w:p>
    <w:p>
      <w:pPr>
        <w:keepNext w:val="0"/>
        <w:spacing w:after="180" w:line="247" w:lineRule="auto"/>
        <w:ind w:left="259" w:hanging="259"/>
      </w:pPr>
      <w:r>
        <w:rPr>
          <w:sz w:val="21"/>
        </w:rPr>
        <w:t>D.  Only the display font failed because the result digits are unchanged.</w:t>
      </w:r>
    </w:p>
    <w:p>
      <w:pPr>
        <w:keepNext/>
        <w:spacing w:before="120" w:after="80"/>
      </w:pPr>
      <w:r>
        <w:rPr>
          <w:b/>
        </w:rPr>
        <w:t>38. An interface retries after a timeout even though ERP received the original message. Which behavior should the test verify?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A.  The repeated message is detected and handled without an unintended duplicate transaction.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B.  A successful connection is treated as proof that no duplicate can exist.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C.  The interface discards every later message after any network timeout occurs.</w:t>
      </w:r>
    </w:p>
    <w:p>
      <w:pPr>
        <w:keepNext w:val="0"/>
        <w:spacing w:after="180" w:line="247" w:lineRule="auto"/>
        <w:ind w:left="259" w:hanging="259"/>
      </w:pPr>
      <w:r>
        <w:rPr>
          <w:sz w:val="21"/>
        </w:rPr>
        <w:t>D.  The retry always creates a new transaction to guarantee that data are not lost.</w:t>
      </w:r>
    </w:p>
    <w:p>
      <w:pPr>
        <w:keepNext/>
        <w:spacing w:before="120" w:after="80"/>
      </w:pPr>
      <w:r>
        <w:rPr>
          <w:b/>
        </w:rPr>
        <w:t>39. A result message fails validation and is placed in an error queue. What completes an effective exception process?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A.  Automatic deletion of the queue after the interface service restarts successfully.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B.  A dashboard total that combines successful and failed messages without distinction.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C.  Assigned review, controlled correction or retry, reconciliation and retained disposition evidence.</w:t>
      </w:r>
    </w:p>
    <w:p>
      <w:pPr>
        <w:keepNext w:val="0"/>
        <w:spacing w:after="180" w:line="247" w:lineRule="auto"/>
        <w:ind w:left="259" w:hanging="259"/>
      </w:pPr>
      <w:r>
        <w:rPr>
          <w:sz w:val="21"/>
        </w:rPr>
        <w:t>D.  A permanent unread queue because the failed message has been technically stored.</w:t>
      </w:r>
    </w:p>
    <w:p>
      <w:pPr>
        <w:keepNext/>
        <w:spacing w:before="120" w:after="80"/>
      </w:pPr>
      <w:r>
        <w:rPr>
          <w:b/>
        </w:rPr>
        <w:t>40. Release notes mention a changed export format used by the customer ERP interface. What is most appropriate before accepting the release for that use?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A.  Exclude the interface because the customer did not modify its integration code.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B.  Assess mapping and downstream impact, then verify affected transfers and exceptions.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C.  Accept the release because supplier regression passed for the export function.</w:t>
      </w:r>
    </w:p>
    <w:p>
      <w:pPr>
        <w:keepNext w:val="0"/>
        <w:spacing w:after="180" w:line="247" w:lineRule="auto"/>
        <w:ind w:left="259" w:hanging="259"/>
      </w:pPr>
      <w:r>
        <w:rPr>
          <w:sz w:val="21"/>
        </w:rPr>
        <w:t>D.  Test only that the export file downloads and has the expected filename.</w:t>
      </w:r>
    </w:p>
    <w:p>
      <w:r>
        <w:br w:type="page"/>
      </w:r>
    </w:p>
    <w:p>
      <w:r>
        <w:rPr>
          <w:color w:val="52616B"/>
          <w:sz w:val="18"/>
        </w:rPr>
        <w:t>FORM A  /  MODULE 09  /  QUESTIONS 41 TO 45</w:t>
      </w:r>
    </w:p>
    <w:p>
      <w:pPr>
        <w:pStyle w:val="Heading1"/>
      </w:pPr>
      <w:r>
        <w:rPr>
          <w:sz w:val="32"/>
        </w:rPr>
        <w:t>Maintaining the Validated State</w:t>
      </w:r>
    </w:p>
    <w:p>
      <w:pPr>
        <w:keepNext/>
        <w:spacing w:before="120" w:after="80"/>
      </w:pPr>
      <w:r>
        <w:rPr>
          <w:b/>
        </w:rPr>
        <w:t>41. What does maintaining the validated state require?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A.  Retaining the final report while allowing operational changes without assessment.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B.  Repeating the entire initial qualification protocol on a fixed monthly schedule.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C.  Reusing the original validation conclusion without considering later changes.</w:t>
      </w:r>
    </w:p>
    <w:p>
      <w:pPr>
        <w:keepNext w:val="0"/>
        <w:spacing w:after="180" w:line="247" w:lineRule="auto"/>
        <w:ind w:left="259" w:hanging="259"/>
      </w:pPr>
      <w:r>
        <w:rPr>
          <w:sz w:val="21"/>
        </w:rPr>
        <w:t>D.  Continuing assessment of changes, incidents, controls and evidence against the approved use.</w:t>
      </w:r>
    </w:p>
    <w:p>
      <w:pPr>
        <w:keepNext/>
        <w:spacing w:before="120" w:after="80"/>
      </w:pPr>
      <w:r>
        <w:rPr>
          <w:b/>
        </w:rPr>
        <w:t>42. Nightly backups are green, but a restore omits CAPA attachments and approval history. What conclusion is justified?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A.  Recovery is acceptable because the database service restarted without an error.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B.  A new backup-success report is enough to close the failed recovery observation.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C.  The missing content can be ignored if the number of CAPA records is unchanged.</w:t>
      </w:r>
    </w:p>
    <w:p>
      <w:pPr>
        <w:keepNext w:val="0"/>
        <w:spacing w:after="180" w:line="247" w:lineRule="auto"/>
        <w:ind w:left="259" w:hanging="259"/>
      </w:pPr>
      <w:r>
        <w:rPr>
          <w:sz w:val="21"/>
        </w:rPr>
        <w:t>D.  Backup execution succeeded, but recovery of the required record was not demonstrated.</w:t>
      </w:r>
    </w:p>
    <w:p>
      <w:pPr>
        <w:keepNext/>
        <w:spacing w:before="120" w:after="80"/>
      </w:pPr>
      <w:r>
        <w:rPr>
          <w:b/>
        </w:rPr>
        <w:t>43. After release, a defect is found that may associate a laboratory result with the wrong batch. What action is most appropriate?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A.  Contain reliance, investigate affected records and decisions, and assess corrective action and retesting.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B.  Correct future mapping only and assume earlier released batches were unaffected.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C.  Close the incident when the interface connection test returns a success message.</w:t>
      </w:r>
    </w:p>
    <w:p>
      <w:pPr>
        <w:keepNext w:val="0"/>
        <w:spacing w:after="180" w:line="247" w:lineRule="auto"/>
        <w:ind w:left="259" w:hanging="259"/>
      </w:pPr>
      <w:r>
        <w:rPr>
          <w:sz w:val="21"/>
        </w:rPr>
        <w:t>D.  Wait for the annual review because the system passed its original validation.</w:t>
      </w:r>
    </w:p>
    <w:p>
      <w:pPr>
        <w:keepNext/>
        <w:spacing w:before="120" w:after="80"/>
      </w:pPr>
      <w:r>
        <w:rPr>
          <w:b/>
        </w:rPr>
        <w:t>44. An employee has moved out of Quality but retains approval rights. What should an access review trigger?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A.  Accept the access because the employee remains employed by the organization.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B.  Change the account display name and leave the underlying permissions unchanged.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C.  Remove inappropriate rights and assess approvals or activity performed after the role change.</w:t>
      </w:r>
    </w:p>
    <w:p>
      <w:pPr>
        <w:keepNext w:val="0"/>
        <w:spacing w:after="180" w:line="247" w:lineRule="auto"/>
        <w:ind w:left="259" w:hanging="259"/>
      </w:pPr>
      <w:r>
        <w:rPr>
          <w:sz w:val="21"/>
        </w:rPr>
        <w:t>D.  Keep the rights until the employee password expires at the next scheduled interval.</w:t>
      </w:r>
    </w:p>
    <w:p>
      <w:pPr>
        <w:keepNext/>
        <w:spacing w:before="120" w:after="80"/>
      </w:pPr>
      <w:r>
        <w:rPr>
          <w:b/>
        </w:rPr>
        <w:t>45. An old regulated system will be retired while its records remain within retention. What must the retirement plan address?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A.  Archiving record counts without verifying access to the underlying record content.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B.  Continued readable retrieval of complete required records, history and signature associations.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C.  Deletion of the source database immediately after the new platform goes live.</w:t>
      </w:r>
    </w:p>
    <w:p>
      <w:pPr>
        <w:keepNext w:val="0"/>
        <w:spacing w:after="180" w:line="247" w:lineRule="auto"/>
        <w:ind w:left="259" w:hanging="259"/>
      </w:pPr>
      <w:r>
        <w:rPr>
          <w:sz w:val="21"/>
        </w:rPr>
        <w:t>D.  Retention of a login screenshot and the original software purchase invoice.</w:t>
      </w:r>
    </w:p>
    <w:p>
      <w:r>
        <w:br w:type="page"/>
      </w:r>
    </w:p>
    <w:p>
      <w:r>
        <w:rPr>
          <w:color w:val="52616B"/>
          <w:sz w:val="18"/>
        </w:rPr>
        <w:t>FORM A  /  MODULE 10  /  QUESTIONS 46 TO 50</w:t>
      </w:r>
    </w:p>
    <w:p>
      <w:pPr>
        <w:pStyle w:val="Heading1"/>
      </w:pPr>
      <w:r>
        <w:rPr>
          <w:sz w:val="32"/>
        </w:rPr>
        <w:t>AI Enabled GxP Systems</w:t>
      </w:r>
    </w:p>
    <w:p>
      <w:pPr>
        <w:keepNext/>
        <w:spacing w:before="120" w:after="80"/>
      </w:pPr>
      <w:r>
        <w:rPr>
          <w:b/>
        </w:rPr>
        <w:t>46. Why must AI intended use distinguish drafting, recommending, deciding and executing?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A.  A human reviewer automatically makes every role low risk without further evidence.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B.  Drafting systems are always outside GxP regardless of how outputs are used.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C.  The distinction determines whether the software can be called artificial intelligence.</w:t>
      </w:r>
    </w:p>
    <w:p>
      <w:pPr>
        <w:keepNext w:val="0"/>
        <w:spacing w:after="180" w:line="247" w:lineRule="auto"/>
        <w:ind w:left="259" w:hanging="259"/>
      </w:pPr>
      <w:r>
        <w:rPr>
          <w:sz w:val="21"/>
        </w:rPr>
        <w:t>D.  These roles create different reliance, consequences, controls and evidence needs.</w:t>
      </w:r>
    </w:p>
    <w:p>
      <w:pPr>
        <w:keepNext/>
        <w:spacing w:before="120" w:after="80"/>
      </w:pPr>
      <w:r>
        <w:rPr>
          <w:b/>
        </w:rPr>
        <w:t>47. An AI protocol reviewer flags many issues. Which evaluation best supports a usefulness and safety conclusion for the defined task?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A.  Count all findings and assume a larger number means better review performance.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B.  Measure only response speed on a set of documents selected because they passed.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C.  Compare with qualified reference findings and examine critical misses, false alarms and dispositions.</w:t>
      </w:r>
    </w:p>
    <w:p>
      <w:pPr>
        <w:keepNext w:val="0"/>
        <w:spacing w:after="180" w:line="247" w:lineRule="auto"/>
        <w:ind w:left="259" w:hanging="259"/>
      </w:pPr>
      <w:r>
        <w:rPr>
          <w:sz w:val="21"/>
        </w:rPr>
        <w:t>D.  Ask the model whether its own findings are correct and accept its explanation.</w:t>
      </w:r>
    </w:p>
    <w:p>
      <w:pPr>
        <w:keepNext/>
        <w:spacing w:before="120" w:after="80"/>
      </w:pPr>
      <w:r>
        <w:rPr>
          <w:b/>
        </w:rPr>
        <w:t>48. A reference set contains 100 genuine critical issues. The AI detects 92 and misses 8. A prespecified criterion permits no critical misses. What is the result?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A.  Specificity is 100 percent because every detected critical issue was correct.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B.  Overall accuracy is 92 percent, so the system passes any reasonable criterion.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C.  The false-positive rate is 8 percent, so the stated criterion is met.</w:t>
      </w:r>
    </w:p>
    <w:p>
      <w:pPr>
        <w:keepNext w:val="0"/>
        <w:spacing w:after="180" w:line="247" w:lineRule="auto"/>
        <w:ind w:left="259" w:hanging="259"/>
      </w:pPr>
      <w:r>
        <w:rPr>
          <w:sz w:val="21"/>
        </w:rPr>
        <w:t>D.  Critical-issue sensitivity is 92 percent, and the stated acceptance criterion is not met.</w:t>
      </w:r>
    </w:p>
    <w:p>
      <w:pPr>
        <w:keepNext/>
        <w:spacing w:before="120" w:after="80"/>
      </w:pPr>
      <w:r>
        <w:rPr>
          <w:b/>
        </w:rPr>
        <w:t>49. AI suggestions are reviewed by a person before approval. How should the combined workflow be challenged?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A.  Accept reviewer job titles as sufficient evidence of effective review performance.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B.  Count review acknowledgements without examining whether the reviewers detect errors.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C.  Test only the AI response because human review is outside the system boundary.</w:t>
      </w:r>
    </w:p>
    <w:p>
      <w:pPr>
        <w:keepNext w:val="0"/>
        <w:spacing w:after="180" w:line="247" w:lineRule="auto"/>
        <w:ind w:left="259" w:hanging="259"/>
      </w:pPr>
      <w:r>
        <w:rPr>
          <w:sz w:val="21"/>
        </w:rPr>
        <w:t>D.  Seed plausible errors and omissions and verify detection, source checking and appropriate disposition.</w:t>
      </w:r>
    </w:p>
    <w:p>
      <w:pPr>
        <w:keepNext/>
        <w:spacing w:before="120" w:after="80"/>
      </w:pPr>
      <w:r>
        <w:rPr>
          <w:b/>
        </w:rPr>
        <w:t>50. The provider changes a model version and the customer changes its prompt template. What should happen before continued use for regulated review?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A.  Continue use because the application interface and user roles have not changed.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B.  Approve the change if one familiar document produces a fluent and plausible answer.</w:t>
      </w:r>
    </w:p>
    <w:p>
      <w:pPr>
        <w:keepNext/>
        <w:spacing w:after="60" w:line="247" w:lineRule="auto"/>
        <w:ind w:left="259" w:hanging="259"/>
      </w:pPr>
      <w:r>
        <w:rPr>
          <w:sz w:val="21"/>
        </w:rPr>
        <w:t>C.  Assess both changes and relevant dependencies, then evaluate against controlled references and criteria.</w:t>
      </w:r>
    </w:p>
    <w:p>
      <w:pPr>
        <w:keepNext w:val="0"/>
        <w:spacing w:after="180" w:line="247" w:lineRule="auto"/>
        <w:ind w:left="259" w:hanging="259"/>
      </w:pPr>
      <w:r>
        <w:rPr>
          <w:sz w:val="21"/>
        </w:rPr>
        <w:t>D.  Evaluate only the prompt because supplier model changes are outside customer responsibility.</w:t>
      </w:r>
    </w:p>
    <w:p>
      <w:r>
        <w:br w:type="page"/>
      </w:r>
    </w:p>
    <w:p>
      <w:pPr>
        <w:pStyle w:val="Heading1"/>
      </w:pPr>
      <w:r>
        <w:t>Candidate answer sheet</w:t>
      </w:r>
    </w:p>
    <w:p>
      <w:r>
        <w:t>Name ____________________________  Candidate ID _______________________</w:t>
      </w:r>
    </w:p>
    <w:p>
      <w:r>
        <w:t>Enter one letter A, B, C or D per question. Clearly erase or strike through any changed response so only one final answer remains.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00"/>
        <w:gridCol w:w="3197"/>
        <w:gridCol w:w="1800"/>
        <w:gridCol w:w="3197"/>
      </w:tblGrid>
      <w:tr>
        <w:trPr>
          <w:tblHeader/>
          <w:cantSplit/>
        </w:trPr>
        <w:tc>
          <w:tcPr>
            <w:tcW w:type="dxa" w:w="1800"/>
            <w:vAlign w:val="center"/>
            <w:shd w:fill="17364D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/>
                <w:color w:val="FFFFFF"/>
                <w:sz w:val="20"/>
              </w:rPr>
              <w:t>Question</w:t>
            </w:r>
          </w:p>
        </w:tc>
        <w:tc>
          <w:tcPr>
            <w:tcW w:type="dxa" w:w="3197"/>
            <w:vAlign w:val="center"/>
            <w:shd w:fill="17364D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/>
                <w:color w:val="FFFFFF"/>
                <w:sz w:val="20"/>
              </w:rPr>
              <w:t>Answer</w:t>
            </w:r>
          </w:p>
        </w:tc>
        <w:tc>
          <w:tcPr>
            <w:tcW w:type="dxa" w:w="1800"/>
            <w:vAlign w:val="center"/>
            <w:shd w:fill="17364D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/>
                <w:color w:val="FFFFFF"/>
                <w:sz w:val="20"/>
              </w:rPr>
              <w:t>Question</w:t>
            </w:r>
          </w:p>
        </w:tc>
        <w:tc>
          <w:tcPr>
            <w:tcW w:type="dxa" w:w="3197"/>
            <w:vAlign w:val="center"/>
            <w:shd w:fill="17364D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/>
                <w:color w:val="FFFFFF"/>
                <w:sz w:val="20"/>
              </w:rPr>
              <w:t>Answer</w:t>
            </w:r>
          </w:p>
        </w:tc>
      </w:tr>
      <w:tr>
        <w:trPr>
          <w:cantSplit/>
        </w:trPr>
        <w:tc>
          <w:tcPr>
            <w:tcW w:type="dxa" w:w="1800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 w:val="0"/>
                <w:color w:val="17232B"/>
                <w:sz w:val="20"/>
              </w:rPr>
              <w:t>1</w:t>
            </w:r>
          </w:p>
        </w:tc>
        <w:tc>
          <w:tcPr>
            <w:tcW w:type="dxa" w:w="3197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 w:val="0"/>
                <w:color w:val="17232B"/>
                <w:sz w:val="20"/>
              </w:rPr>
            </w:r>
          </w:p>
        </w:tc>
        <w:tc>
          <w:tcPr>
            <w:tcW w:type="dxa" w:w="1800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 w:val="0"/>
                <w:color w:val="17232B"/>
                <w:sz w:val="20"/>
              </w:rPr>
              <w:t>26</w:t>
            </w:r>
          </w:p>
        </w:tc>
        <w:tc>
          <w:tcPr>
            <w:tcW w:type="dxa" w:w="3197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 w:val="0"/>
                <w:color w:val="17232B"/>
                <w:sz w:val="20"/>
              </w:rPr>
            </w:r>
          </w:p>
        </w:tc>
      </w:tr>
      <w:tr>
        <w:trPr>
          <w:cantSplit/>
        </w:trPr>
        <w:tc>
          <w:tcPr>
            <w:tcW w:type="dxa" w:w="1800"/>
            <w:vAlign w:val="center"/>
            <w:shd w:fill="EDF3F7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 w:val="0"/>
                <w:color w:val="17232B"/>
                <w:sz w:val="20"/>
              </w:rPr>
              <w:t>2</w:t>
            </w:r>
          </w:p>
        </w:tc>
        <w:tc>
          <w:tcPr>
            <w:tcW w:type="dxa" w:w="3197"/>
            <w:vAlign w:val="center"/>
            <w:shd w:fill="EDF3F7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 w:val="0"/>
                <w:color w:val="17232B"/>
                <w:sz w:val="20"/>
              </w:rPr>
            </w:r>
          </w:p>
        </w:tc>
        <w:tc>
          <w:tcPr>
            <w:tcW w:type="dxa" w:w="1800"/>
            <w:vAlign w:val="center"/>
            <w:shd w:fill="EDF3F7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 w:val="0"/>
                <w:color w:val="17232B"/>
                <w:sz w:val="20"/>
              </w:rPr>
              <w:t>27</w:t>
            </w:r>
          </w:p>
        </w:tc>
        <w:tc>
          <w:tcPr>
            <w:tcW w:type="dxa" w:w="3197"/>
            <w:vAlign w:val="center"/>
            <w:shd w:fill="EDF3F7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 w:val="0"/>
                <w:color w:val="17232B"/>
                <w:sz w:val="20"/>
              </w:rPr>
            </w:r>
          </w:p>
        </w:tc>
      </w:tr>
      <w:tr>
        <w:trPr>
          <w:cantSplit/>
        </w:trPr>
        <w:tc>
          <w:tcPr>
            <w:tcW w:type="dxa" w:w="1800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 w:val="0"/>
                <w:color w:val="17232B"/>
                <w:sz w:val="20"/>
              </w:rPr>
              <w:t>3</w:t>
            </w:r>
          </w:p>
        </w:tc>
        <w:tc>
          <w:tcPr>
            <w:tcW w:type="dxa" w:w="3197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 w:val="0"/>
                <w:color w:val="17232B"/>
                <w:sz w:val="20"/>
              </w:rPr>
            </w:r>
          </w:p>
        </w:tc>
        <w:tc>
          <w:tcPr>
            <w:tcW w:type="dxa" w:w="1800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 w:val="0"/>
                <w:color w:val="17232B"/>
                <w:sz w:val="20"/>
              </w:rPr>
              <w:t>28</w:t>
            </w:r>
          </w:p>
        </w:tc>
        <w:tc>
          <w:tcPr>
            <w:tcW w:type="dxa" w:w="3197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 w:val="0"/>
                <w:color w:val="17232B"/>
                <w:sz w:val="20"/>
              </w:rPr>
            </w:r>
          </w:p>
        </w:tc>
      </w:tr>
      <w:tr>
        <w:trPr>
          <w:cantSplit/>
        </w:trPr>
        <w:tc>
          <w:tcPr>
            <w:tcW w:type="dxa" w:w="1800"/>
            <w:vAlign w:val="center"/>
            <w:shd w:fill="EDF3F7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 w:val="0"/>
                <w:color w:val="17232B"/>
                <w:sz w:val="20"/>
              </w:rPr>
              <w:t>4</w:t>
            </w:r>
          </w:p>
        </w:tc>
        <w:tc>
          <w:tcPr>
            <w:tcW w:type="dxa" w:w="3197"/>
            <w:vAlign w:val="center"/>
            <w:shd w:fill="EDF3F7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 w:val="0"/>
                <w:color w:val="17232B"/>
                <w:sz w:val="20"/>
              </w:rPr>
            </w:r>
          </w:p>
        </w:tc>
        <w:tc>
          <w:tcPr>
            <w:tcW w:type="dxa" w:w="1800"/>
            <w:vAlign w:val="center"/>
            <w:shd w:fill="EDF3F7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 w:val="0"/>
                <w:color w:val="17232B"/>
                <w:sz w:val="20"/>
              </w:rPr>
              <w:t>29</w:t>
            </w:r>
          </w:p>
        </w:tc>
        <w:tc>
          <w:tcPr>
            <w:tcW w:type="dxa" w:w="3197"/>
            <w:vAlign w:val="center"/>
            <w:shd w:fill="EDF3F7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 w:val="0"/>
                <w:color w:val="17232B"/>
                <w:sz w:val="20"/>
              </w:rPr>
            </w:r>
          </w:p>
        </w:tc>
      </w:tr>
      <w:tr>
        <w:trPr>
          <w:cantSplit/>
        </w:trPr>
        <w:tc>
          <w:tcPr>
            <w:tcW w:type="dxa" w:w="1800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 w:val="0"/>
                <w:color w:val="17232B"/>
                <w:sz w:val="20"/>
              </w:rPr>
              <w:t>5</w:t>
            </w:r>
          </w:p>
        </w:tc>
        <w:tc>
          <w:tcPr>
            <w:tcW w:type="dxa" w:w="3197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 w:val="0"/>
                <w:color w:val="17232B"/>
                <w:sz w:val="20"/>
              </w:rPr>
            </w:r>
          </w:p>
        </w:tc>
        <w:tc>
          <w:tcPr>
            <w:tcW w:type="dxa" w:w="1800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 w:val="0"/>
                <w:color w:val="17232B"/>
                <w:sz w:val="20"/>
              </w:rPr>
              <w:t>30</w:t>
            </w:r>
          </w:p>
        </w:tc>
        <w:tc>
          <w:tcPr>
            <w:tcW w:type="dxa" w:w="3197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 w:val="0"/>
                <w:color w:val="17232B"/>
                <w:sz w:val="20"/>
              </w:rPr>
            </w:r>
          </w:p>
        </w:tc>
      </w:tr>
      <w:tr>
        <w:trPr>
          <w:cantSplit/>
        </w:trPr>
        <w:tc>
          <w:tcPr>
            <w:tcW w:type="dxa" w:w="1800"/>
            <w:vAlign w:val="center"/>
            <w:shd w:fill="EDF3F7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 w:val="0"/>
                <w:color w:val="17232B"/>
                <w:sz w:val="20"/>
              </w:rPr>
              <w:t>6</w:t>
            </w:r>
          </w:p>
        </w:tc>
        <w:tc>
          <w:tcPr>
            <w:tcW w:type="dxa" w:w="3197"/>
            <w:vAlign w:val="center"/>
            <w:shd w:fill="EDF3F7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 w:val="0"/>
                <w:color w:val="17232B"/>
                <w:sz w:val="20"/>
              </w:rPr>
            </w:r>
          </w:p>
        </w:tc>
        <w:tc>
          <w:tcPr>
            <w:tcW w:type="dxa" w:w="1800"/>
            <w:vAlign w:val="center"/>
            <w:shd w:fill="EDF3F7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 w:val="0"/>
                <w:color w:val="17232B"/>
                <w:sz w:val="20"/>
              </w:rPr>
              <w:t>31</w:t>
            </w:r>
          </w:p>
        </w:tc>
        <w:tc>
          <w:tcPr>
            <w:tcW w:type="dxa" w:w="3197"/>
            <w:vAlign w:val="center"/>
            <w:shd w:fill="EDF3F7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 w:val="0"/>
                <w:color w:val="17232B"/>
                <w:sz w:val="20"/>
              </w:rPr>
            </w:r>
          </w:p>
        </w:tc>
      </w:tr>
      <w:tr>
        <w:trPr>
          <w:cantSplit/>
        </w:trPr>
        <w:tc>
          <w:tcPr>
            <w:tcW w:type="dxa" w:w="1800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 w:val="0"/>
                <w:color w:val="17232B"/>
                <w:sz w:val="20"/>
              </w:rPr>
              <w:t>7</w:t>
            </w:r>
          </w:p>
        </w:tc>
        <w:tc>
          <w:tcPr>
            <w:tcW w:type="dxa" w:w="3197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 w:val="0"/>
                <w:color w:val="17232B"/>
                <w:sz w:val="20"/>
              </w:rPr>
            </w:r>
          </w:p>
        </w:tc>
        <w:tc>
          <w:tcPr>
            <w:tcW w:type="dxa" w:w="1800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 w:val="0"/>
                <w:color w:val="17232B"/>
                <w:sz w:val="20"/>
              </w:rPr>
              <w:t>32</w:t>
            </w:r>
          </w:p>
        </w:tc>
        <w:tc>
          <w:tcPr>
            <w:tcW w:type="dxa" w:w="3197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 w:val="0"/>
                <w:color w:val="17232B"/>
                <w:sz w:val="20"/>
              </w:rPr>
            </w:r>
          </w:p>
        </w:tc>
      </w:tr>
      <w:tr>
        <w:trPr>
          <w:cantSplit/>
        </w:trPr>
        <w:tc>
          <w:tcPr>
            <w:tcW w:type="dxa" w:w="1800"/>
            <w:vAlign w:val="center"/>
            <w:shd w:fill="EDF3F7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 w:val="0"/>
                <w:color w:val="17232B"/>
                <w:sz w:val="20"/>
              </w:rPr>
              <w:t>8</w:t>
            </w:r>
          </w:p>
        </w:tc>
        <w:tc>
          <w:tcPr>
            <w:tcW w:type="dxa" w:w="3197"/>
            <w:vAlign w:val="center"/>
            <w:shd w:fill="EDF3F7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 w:val="0"/>
                <w:color w:val="17232B"/>
                <w:sz w:val="20"/>
              </w:rPr>
            </w:r>
          </w:p>
        </w:tc>
        <w:tc>
          <w:tcPr>
            <w:tcW w:type="dxa" w:w="1800"/>
            <w:vAlign w:val="center"/>
            <w:shd w:fill="EDF3F7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 w:val="0"/>
                <w:color w:val="17232B"/>
                <w:sz w:val="20"/>
              </w:rPr>
              <w:t>33</w:t>
            </w:r>
          </w:p>
        </w:tc>
        <w:tc>
          <w:tcPr>
            <w:tcW w:type="dxa" w:w="3197"/>
            <w:vAlign w:val="center"/>
            <w:shd w:fill="EDF3F7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 w:val="0"/>
                <w:color w:val="17232B"/>
                <w:sz w:val="20"/>
              </w:rPr>
            </w:r>
          </w:p>
        </w:tc>
      </w:tr>
      <w:tr>
        <w:trPr>
          <w:cantSplit/>
        </w:trPr>
        <w:tc>
          <w:tcPr>
            <w:tcW w:type="dxa" w:w="1800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 w:val="0"/>
                <w:color w:val="17232B"/>
                <w:sz w:val="20"/>
              </w:rPr>
              <w:t>9</w:t>
            </w:r>
          </w:p>
        </w:tc>
        <w:tc>
          <w:tcPr>
            <w:tcW w:type="dxa" w:w="3197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 w:val="0"/>
                <w:color w:val="17232B"/>
                <w:sz w:val="20"/>
              </w:rPr>
            </w:r>
          </w:p>
        </w:tc>
        <w:tc>
          <w:tcPr>
            <w:tcW w:type="dxa" w:w="1800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 w:val="0"/>
                <w:color w:val="17232B"/>
                <w:sz w:val="20"/>
              </w:rPr>
              <w:t>34</w:t>
            </w:r>
          </w:p>
        </w:tc>
        <w:tc>
          <w:tcPr>
            <w:tcW w:type="dxa" w:w="3197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 w:val="0"/>
                <w:color w:val="17232B"/>
                <w:sz w:val="20"/>
              </w:rPr>
            </w:r>
          </w:p>
        </w:tc>
      </w:tr>
      <w:tr>
        <w:trPr>
          <w:cantSplit/>
        </w:trPr>
        <w:tc>
          <w:tcPr>
            <w:tcW w:type="dxa" w:w="1800"/>
            <w:vAlign w:val="center"/>
            <w:shd w:fill="EDF3F7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 w:val="0"/>
                <w:color w:val="17232B"/>
                <w:sz w:val="20"/>
              </w:rPr>
              <w:t>10</w:t>
            </w:r>
          </w:p>
        </w:tc>
        <w:tc>
          <w:tcPr>
            <w:tcW w:type="dxa" w:w="3197"/>
            <w:vAlign w:val="center"/>
            <w:shd w:fill="EDF3F7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 w:val="0"/>
                <w:color w:val="17232B"/>
                <w:sz w:val="20"/>
              </w:rPr>
            </w:r>
          </w:p>
        </w:tc>
        <w:tc>
          <w:tcPr>
            <w:tcW w:type="dxa" w:w="1800"/>
            <w:vAlign w:val="center"/>
            <w:shd w:fill="EDF3F7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 w:val="0"/>
                <w:color w:val="17232B"/>
                <w:sz w:val="20"/>
              </w:rPr>
              <w:t>35</w:t>
            </w:r>
          </w:p>
        </w:tc>
        <w:tc>
          <w:tcPr>
            <w:tcW w:type="dxa" w:w="3197"/>
            <w:vAlign w:val="center"/>
            <w:shd w:fill="EDF3F7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 w:val="0"/>
                <w:color w:val="17232B"/>
                <w:sz w:val="20"/>
              </w:rPr>
            </w:r>
          </w:p>
        </w:tc>
      </w:tr>
      <w:tr>
        <w:trPr>
          <w:cantSplit/>
        </w:trPr>
        <w:tc>
          <w:tcPr>
            <w:tcW w:type="dxa" w:w="1800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 w:val="0"/>
                <w:color w:val="17232B"/>
                <w:sz w:val="20"/>
              </w:rPr>
              <w:t>11</w:t>
            </w:r>
          </w:p>
        </w:tc>
        <w:tc>
          <w:tcPr>
            <w:tcW w:type="dxa" w:w="3197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 w:val="0"/>
                <w:color w:val="17232B"/>
                <w:sz w:val="20"/>
              </w:rPr>
            </w:r>
          </w:p>
        </w:tc>
        <w:tc>
          <w:tcPr>
            <w:tcW w:type="dxa" w:w="1800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 w:val="0"/>
                <w:color w:val="17232B"/>
                <w:sz w:val="20"/>
              </w:rPr>
              <w:t>36</w:t>
            </w:r>
          </w:p>
        </w:tc>
        <w:tc>
          <w:tcPr>
            <w:tcW w:type="dxa" w:w="3197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 w:val="0"/>
                <w:color w:val="17232B"/>
                <w:sz w:val="20"/>
              </w:rPr>
            </w:r>
          </w:p>
        </w:tc>
      </w:tr>
      <w:tr>
        <w:trPr>
          <w:cantSplit/>
        </w:trPr>
        <w:tc>
          <w:tcPr>
            <w:tcW w:type="dxa" w:w="1800"/>
            <w:vAlign w:val="center"/>
            <w:shd w:fill="EDF3F7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 w:val="0"/>
                <w:color w:val="17232B"/>
                <w:sz w:val="20"/>
              </w:rPr>
              <w:t>12</w:t>
            </w:r>
          </w:p>
        </w:tc>
        <w:tc>
          <w:tcPr>
            <w:tcW w:type="dxa" w:w="3197"/>
            <w:vAlign w:val="center"/>
            <w:shd w:fill="EDF3F7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 w:val="0"/>
                <w:color w:val="17232B"/>
                <w:sz w:val="20"/>
              </w:rPr>
            </w:r>
          </w:p>
        </w:tc>
        <w:tc>
          <w:tcPr>
            <w:tcW w:type="dxa" w:w="1800"/>
            <w:vAlign w:val="center"/>
            <w:shd w:fill="EDF3F7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 w:val="0"/>
                <w:color w:val="17232B"/>
                <w:sz w:val="20"/>
              </w:rPr>
              <w:t>37</w:t>
            </w:r>
          </w:p>
        </w:tc>
        <w:tc>
          <w:tcPr>
            <w:tcW w:type="dxa" w:w="3197"/>
            <w:vAlign w:val="center"/>
            <w:shd w:fill="EDF3F7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 w:val="0"/>
                <w:color w:val="17232B"/>
                <w:sz w:val="20"/>
              </w:rPr>
            </w:r>
          </w:p>
        </w:tc>
      </w:tr>
      <w:tr>
        <w:trPr>
          <w:cantSplit/>
        </w:trPr>
        <w:tc>
          <w:tcPr>
            <w:tcW w:type="dxa" w:w="1800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 w:val="0"/>
                <w:color w:val="17232B"/>
                <w:sz w:val="20"/>
              </w:rPr>
              <w:t>13</w:t>
            </w:r>
          </w:p>
        </w:tc>
        <w:tc>
          <w:tcPr>
            <w:tcW w:type="dxa" w:w="3197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 w:val="0"/>
                <w:color w:val="17232B"/>
                <w:sz w:val="20"/>
              </w:rPr>
            </w:r>
          </w:p>
        </w:tc>
        <w:tc>
          <w:tcPr>
            <w:tcW w:type="dxa" w:w="1800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 w:val="0"/>
                <w:color w:val="17232B"/>
                <w:sz w:val="20"/>
              </w:rPr>
              <w:t>38</w:t>
            </w:r>
          </w:p>
        </w:tc>
        <w:tc>
          <w:tcPr>
            <w:tcW w:type="dxa" w:w="3197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 w:val="0"/>
                <w:color w:val="17232B"/>
                <w:sz w:val="20"/>
              </w:rPr>
            </w:r>
          </w:p>
        </w:tc>
      </w:tr>
      <w:tr>
        <w:trPr>
          <w:cantSplit/>
        </w:trPr>
        <w:tc>
          <w:tcPr>
            <w:tcW w:type="dxa" w:w="1800"/>
            <w:vAlign w:val="center"/>
            <w:shd w:fill="EDF3F7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 w:val="0"/>
                <w:color w:val="17232B"/>
                <w:sz w:val="20"/>
              </w:rPr>
              <w:t>14</w:t>
            </w:r>
          </w:p>
        </w:tc>
        <w:tc>
          <w:tcPr>
            <w:tcW w:type="dxa" w:w="3197"/>
            <w:vAlign w:val="center"/>
            <w:shd w:fill="EDF3F7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 w:val="0"/>
                <w:color w:val="17232B"/>
                <w:sz w:val="20"/>
              </w:rPr>
            </w:r>
          </w:p>
        </w:tc>
        <w:tc>
          <w:tcPr>
            <w:tcW w:type="dxa" w:w="1800"/>
            <w:vAlign w:val="center"/>
            <w:shd w:fill="EDF3F7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 w:val="0"/>
                <w:color w:val="17232B"/>
                <w:sz w:val="20"/>
              </w:rPr>
              <w:t>39</w:t>
            </w:r>
          </w:p>
        </w:tc>
        <w:tc>
          <w:tcPr>
            <w:tcW w:type="dxa" w:w="3197"/>
            <w:vAlign w:val="center"/>
            <w:shd w:fill="EDF3F7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 w:val="0"/>
                <w:color w:val="17232B"/>
                <w:sz w:val="20"/>
              </w:rPr>
            </w:r>
          </w:p>
        </w:tc>
      </w:tr>
      <w:tr>
        <w:trPr>
          <w:cantSplit/>
        </w:trPr>
        <w:tc>
          <w:tcPr>
            <w:tcW w:type="dxa" w:w="1800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 w:val="0"/>
                <w:color w:val="17232B"/>
                <w:sz w:val="20"/>
              </w:rPr>
              <w:t>15</w:t>
            </w:r>
          </w:p>
        </w:tc>
        <w:tc>
          <w:tcPr>
            <w:tcW w:type="dxa" w:w="3197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 w:val="0"/>
                <w:color w:val="17232B"/>
                <w:sz w:val="20"/>
              </w:rPr>
            </w:r>
          </w:p>
        </w:tc>
        <w:tc>
          <w:tcPr>
            <w:tcW w:type="dxa" w:w="1800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 w:val="0"/>
                <w:color w:val="17232B"/>
                <w:sz w:val="20"/>
              </w:rPr>
              <w:t>40</w:t>
            </w:r>
          </w:p>
        </w:tc>
        <w:tc>
          <w:tcPr>
            <w:tcW w:type="dxa" w:w="3197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 w:val="0"/>
                <w:color w:val="17232B"/>
                <w:sz w:val="20"/>
              </w:rPr>
            </w:r>
          </w:p>
        </w:tc>
      </w:tr>
      <w:tr>
        <w:trPr>
          <w:cantSplit/>
        </w:trPr>
        <w:tc>
          <w:tcPr>
            <w:tcW w:type="dxa" w:w="1800"/>
            <w:vAlign w:val="center"/>
            <w:shd w:fill="EDF3F7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 w:val="0"/>
                <w:color w:val="17232B"/>
                <w:sz w:val="20"/>
              </w:rPr>
              <w:t>16</w:t>
            </w:r>
          </w:p>
        </w:tc>
        <w:tc>
          <w:tcPr>
            <w:tcW w:type="dxa" w:w="3197"/>
            <w:vAlign w:val="center"/>
            <w:shd w:fill="EDF3F7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 w:val="0"/>
                <w:color w:val="17232B"/>
                <w:sz w:val="20"/>
              </w:rPr>
            </w:r>
          </w:p>
        </w:tc>
        <w:tc>
          <w:tcPr>
            <w:tcW w:type="dxa" w:w="1800"/>
            <w:vAlign w:val="center"/>
            <w:shd w:fill="EDF3F7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 w:val="0"/>
                <w:color w:val="17232B"/>
                <w:sz w:val="20"/>
              </w:rPr>
              <w:t>41</w:t>
            </w:r>
          </w:p>
        </w:tc>
        <w:tc>
          <w:tcPr>
            <w:tcW w:type="dxa" w:w="3197"/>
            <w:vAlign w:val="center"/>
            <w:shd w:fill="EDF3F7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 w:val="0"/>
                <w:color w:val="17232B"/>
                <w:sz w:val="20"/>
              </w:rPr>
            </w:r>
          </w:p>
        </w:tc>
      </w:tr>
      <w:tr>
        <w:trPr>
          <w:cantSplit/>
        </w:trPr>
        <w:tc>
          <w:tcPr>
            <w:tcW w:type="dxa" w:w="1800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 w:val="0"/>
                <w:color w:val="17232B"/>
                <w:sz w:val="20"/>
              </w:rPr>
              <w:t>17</w:t>
            </w:r>
          </w:p>
        </w:tc>
        <w:tc>
          <w:tcPr>
            <w:tcW w:type="dxa" w:w="3197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 w:val="0"/>
                <w:color w:val="17232B"/>
                <w:sz w:val="20"/>
              </w:rPr>
            </w:r>
          </w:p>
        </w:tc>
        <w:tc>
          <w:tcPr>
            <w:tcW w:type="dxa" w:w="1800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 w:val="0"/>
                <w:color w:val="17232B"/>
                <w:sz w:val="20"/>
              </w:rPr>
              <w:t>42</w:t>
            </w:r>
          </w:p>
        </w:tc>
        <w:tc>
          <w:tcPr>
            <w:tcW w:type="dxa" w:w="3197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 w:val="0"/>
                <w:color w:val="17232B"/>
                <w:sz w:val="20"/>
              </w:rPr>
            </w:r>
          </w:p>
        </w:tc>
      </w:tr>
      <w:tr>
        <w:trPr>
          <w:cantSplit/>
        </w:trPr>
        <w:tc>
          <w:tcPr>
            <w:tcW w:type="dxa" w:w="1800"/>
            <w:vAlign w:val="center"/>
            <w:shd w:fill="EDF3F7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 w:val="0"/>
                <w:color w:val="17232B"/>
                <w:sz w:val="20"/>
              </w:rPr>
              <w:t>18</w:t>
            </w:r>
          </w:p>
        </w:tc>
        <w:tc>
          <w:tcPr>
            <w:tcW w:type="dxa" w:w="3197"/>
            <w:vAlign w:val="center"/>
            <w:shd w:fill="EDF3F7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 w:val="0"/>
                <w:color w:val="17232B"/>
                <w:sz w:val="20"/>
              </w:rPr>
            </w:r>
          </w:p>
        </w:tc>
        <w:tc>
          <w:tcPr>
            <w:tcW w:type="dxa" w:w="1800"/>
            <w:vAlign w:val="center"/>
            <w:shd w:fill="EDF3F7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 w:val="0"/>
                <w:color w:val="17232B"/>
                <w:sz w:val="20"/>
              </w:rPr>
              <w:t>43</w:t>
            </w:r>
          </w:p>
        </w:tc>
        <w:tc>
          <w:tcPr>
            <w:tcW w:type="dxa" w:w="3197"/>
            <w:vAlign w:val="center"/>
            <w:shd w:fill="EDF3F7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 w:val="0"/>
                <w:color w:val="17232B"/>
                <w:sz w:val="20"/>
              </w:rPr>
            </w:r>
          </w:p>
        </w:tc>
      </w:tr>
      <w:tr>
        <w:trPr>
          <w:cantSplit/>
        </w:trPr>
        <w:tc>
          <w:tcPr>
            <w:tcW w:type="dxa" w:w="1800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 w:val="0"/>
                <w:color w:val="17232B"/>
                <w:sz w:val="20"/>
              </w:rPr>
              <w:t>19</w:t>
            </w:r>
          </w:p>
        </w:tc>
        <w:tc>
          <w:tcPr>
            <w:tcW w:type="dxa" w:w="3197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 w:val="0"/>
                <w:color w:val="17232B"/>
                <w:sz w:val="20"/>
              </w:rPr>
            </w:r>
          </w:p>
        </w:tc>
        <w:tc>
          <w:tcPr>
            <w:tcW w:type="dxa" w:w="1800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 w:val="0"/>
                <w:color w:val="17232B"/>
                <w:sz w:val="20"/>
              </w:rPr>
              <w:t>44</w:t>
            </w:r>
          </w:p>
        </w:tc>
        <w:tc>
          <w:tcPr>
            <w:tcW w:type="dxa" w:w="3197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 w:val="0"/>
                <w:color w:val="17232B"/>
                <w:sz w:val="20"/>
              </w:rPr>
            </w:r>
          </w:p>
        </w:tc>
      </w:tr>
      <w:tr>
        <w:trPr>
          <w:cantSplit/>
        </w:trPr>
        <w:tc>
          <w:tcPr>
            <w:tcW w:type="dxa" w:w="1800"/>
            <w:vAlign w:val="center"/>
            <w:shd w:fill="EDF3F7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 w:val="0"/>
                <w:color w:val="17232B"/>
                <w:sz w:val="20"/>
              </w:rPr>
              <w:t>20</w:t>
            </w:r>
          </w:p>
        </w:tc>
        <w:tc>
          <w:tcPr>
            <w:tcW w:type="dxa" w:w="3197"/>
            <w:vAlign w:val="center"/>
            <w:shd w:fill="EDF3F7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 w:val="0"/>
                <w:color w:val="17232B"/>
                <w:sz w:val="20"/>
              </w:rPr>
            </w:r>
          </w:p>
        </w:tc>
        <w:tc>
          <w:tcPr>
            <w:tcW w:type="dxa" w:w="1800"/>
            <w:vAlign w:val="center"/>
            <w:shd w:fill="EDF3F7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 w:val="0"/>
                <w:color w:val="17232B"/>
                <w:sz w:val="20"/>
              </w:rPr>
              <w:t>45</w:t>
            </w:r>
          </w:p>
        </w:tc>
        <w:tc>
          <w:tcPr>
            <w:tcW w:type="dxa" w:w="3197"/>
            <w:vAlign w:val="center"/>
            <w:shd w:fill="EDF3F7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 w:val="0"/>
                <w:color w:val="17232B"/>
                <w:sz w:val="20"/>
              </w:rPr>
            </w:r>
          </w:p>
        </w:tc>
      </w:tr>
      <w:tr>
        <w:trPr>
          <w:cantSplit/>
        </w:trPr>
        <w:tc>
          <w:tcPr>
            <w:tcW w:type="dxa" w:w="1800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 w:val="0"/>
                <w:color w:val="17232B"/>
                <w:sz w:val="20"/>
              </w:rPr>
              <w:t>21</w:t>
            </w:r>
          </w:p>
        </w:tc>
        <w:tc>
          <w:tcPr>
            <w:tcW w:type="dxa" w:w="3197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 w:val="0"/>
                <w:color w:val="17232B"/>
                <w:sz w:val="20"/>
              </w:rPr>
            </w:r>
          </w:p>
        </w:tc>
        <w:tc>
          <w:tcPr>
            <w:tcW w:type="dxa" w:w="1800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 w:val="0"/>
                <w:color w:val="17232B"/>
                <w:sz w:val="20"/>
              </w:rPr>
              <w:t>46</w:t>
            </w:r>
          </w:p>
        </w:tc>
        <w:tc>
          <w:tcPr>
            <w:tcW w:type="dxa" w:w="3197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 w:val="0"/>
                <w:color w:val="17232B"/>
                <w:sz w:val="20"/>
              </w:rPr>
            </w:r>
          </w:p>
        </w:tc>
      </w:tr>
      <w:tr>
        <w:trPr>
          <w:cantSplit/>
        </w:trPr>
        <w:tc>
          <w:tcPr>
            <w:tcW w:type="dxa" w:w="1800"/>
            <w:vAlign w:val="center"/>
            <w:shd w:fill="EDF3F7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 w:val="0"/>
                <w:color w:val="17232B"/>
                <w:sz w:val="20"/>
              </w:rPr>
              <w:t>22</w:t>
            </w:r>
          </w:p>
        </w:tc>
        <w:tc>
          <w:tcPr>
            <w:tcW w:type="dxa" w:w="3197"/>
            <w:vAlign w:val="center"/>
            <w:shd w:fill="EDF3F7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 w:val="0"/>
                <w:color w:val="17232B"/>
                <w:sz w:val="20"/>
              </w:rPr>
            </w:r>
          </w:p>
        </w:tc>
        <w:tc>
          <w:tcPr>
            <w:tcW w:type="dxa" w:w="1800"/>
            <w:vAlign w:val="center"/>
            <w:shd w:fill="EDF3F7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 w:val="0"/>
                <w:color w:val="17232B"/>
                <w:sz w:val="20"/>
              </w:rPr>
              <w:t>47</w:t>
            </w:r>
          </w:p>
        </w:tc>
        <w:tc>
          <w:tcPr>
            <w:tcW w:type="dxa" w:w="3197"/>
            <w:vAlign w:val="center"/>
            <w:shd w:fill="EDF3F7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 w:val="0"/>
                <w:color w:val="17232B"/>
                <w:sz w:val="20"/>
              </w:rPr>
            </w:r>
          </w:p>
        </w:tc>
      </w:tr>
      <w:tr>
        <w:trPr>
          <w:cantSplit/>
        </w:trPr>
        <w:tc>
          <w:tcPr>
            <w:tcW w:type="dxa" w:w="1800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 w:val="0"/>
                <w:color w:val="17232B"/>
                <w:sz w:val="20"/>
              </w:rPr>
              <w:t>23</w:t>
            </w:r>
          </w:p>
        </w:tc>
        <w:tc>
          <w:tcPr>
            <w:tcW w:type="dxa" w:w="3197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 w:val="0"/>
                <w:color w:val="17232B"/>
                <w:sz w:val="20"/>
              </w:rPr>
            </w:r>
          </w:p>
        </w:tc>
        <w:tc>
          <w:tcPr>
            <w:tcW w:type="dxa" w:w="1800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 w:val="0"/>
                <w:color w:val="17232B"/>
                <w:sz w:val="20"/>
              </w:rPr>
              <w:t>48</w:t>
            </w:r>
          </w:p>
        </w:tc>
        <w:tc>
          <w:tcPr>
            <w:tcW w:type="dxa" w:w="3197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 w:val="0"/>
                <w:color w:val="17232B"/>
                <w:sz w:val="20"/>
              </w:rPr>
            </w:r>
          </w:p>
        </w:tc>
      </w:tr>
      <w:tr>
        <w:trPr>
          <w:cantSplit/>
        </w:trPr>
        <w:tc>
          <w:tcPr>
            <w:tcW w:type="dxa" w:w="1800"/>
            <w:vAlign w:val="center"/>
            <w:shd w:fill="EDF3F7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 w:val="0"/>
                <w:color w:val="17232B"/>
                <w:sz w:val="20"/>
              </w:rPr>
              <w:t>24</w:t>
            </w:r>
          </w:p>
        </w:tc>
        <w:tc>
          <w:tcPr>
            <w:tcW w:type="dxa" w:w="3197"/>
            <w:vAlign w:val="center"/>
            <w:shd w:fill="EDF3F7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 w:val="0"/>
                <w:color w:val="17232B"/>
                <w:sz w:val="20"/>
              </w:rPr>
            </w:r>
          </w:p>
        </w:tc>
        <w:tc>
          <w:tcPr>
            <w:tcW w:type="dxa" w:w="1800"/>
            <w:vAlign w:val="center"/>
            <w:shd w:fill="EDF3F7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 w:val="0"/>
                <w:color w:val="17232B"/>
                <w:sz w:val="20"/>
              </w:rPr>
              <w:t>49</w:t>
            </w:r>
          </w:p>
        </w:tc>
        <w:tc>
          <w:tcPr>
            <w:tcW w:type="dxa" w:w="3197"/>
            <w:vAlign w:val="center"/>
            <w:shd w:fill="EDF3F7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 w:val="0"/>
                <w:color w:val="17232B"/>
                <w:sz w:val="20"/>
              </w:rPr>
            </w:r>
          </w:p>
        </w:tc>
      </w:tr>
      <w:tr>
        <w:trPr>
          <w:cantSplit/>
        </w:trPr>
        <w:tc>
          <w:tcPr>
            <w:tcW w:type="dxa" w:w="1800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 w:val="0"/>
                <w:color w:val="17232B"/>
                <w:sz w:val="20"/>
              </w:rPr>
              <w:t>25</w:t>
            </w:r>
          </w:p>
        </w:tc>
        <w:tc>
          <w:tcPr>
            <w:tcW w:type="dxa" w:w="3197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 w:val="0"/>
                <w:color w:val="17232B"/>
                <w:sz w:val="20"/>
              </w:rPr>
            </w:r>
          </w:p>
        </w:tc>
        <w:tc>
          <w:tcPr>
            <w:tcW w:type="dxa" w:w="1800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 w:val="0"/>
                <w:color w:val="17232B"/>
                <w:sz w:val="20"/>
              </w:rPr>
              <w:t>50</w:t>
            </w:r>
          </w:p>
        </w:tc>
        <w:tc>
          <w:tcPr>
            <w:tcW w:type="dxa" w:w="3197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>
            <w:pPr>
              <w:spacing w:after="20" w:line="252" w:lineRule="auto"/>
            </w:pPr>
            <w:r>
              <w:rPr>
                <w:rFonts w:ascii="Arial" w:hAnsi="Arial"/>
                <w:b w:val="0"/>
                <w:color w:val="17232B"/>
                <w:sz w:val="20"/>
              </w:rPr>
            </w:r>
          </w:p>
        </w:tc>
      </w:tr>
    </w:tbl>
    <w:p>
      <w:pPr>
        <w:spacing w:after="20"/>
      </w:pPr>
    </w:p>
    <w:p>
      <w:r>
        <w:t>Assessor use: Correct ______ / 50    Percentage ______    Result ______________</w:t>
      </w:r>
    </w:p>
    <w:p>
      <w:r>
        <w:t>Assessor _____________________________  Date 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79" w:right="1123" w:bottom="936" w:left="1123" w:header="403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sz w:val="16"/>
      </w:rPr>
      <w:t xml:space="preserve">Version 1.0  |  </w:t>
    </w:r>
    <w:fldSimple w:instr="PAGE"/>
    <w:r>
      <w:rPr>
        <w:sz w:val="16"/>
      </w:rPr>
      <w:t xml:space="preserve"> / </w:t>
    </w:r>
    <w:fldSimple w:instr="NUMPAGES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color w:val="52616B"/>
        <w:sz w:val="16"/>
      </w:rPr>
      <w:t>CSVtoCSA  /  Certification Exam | Form A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40"/>
    </w:pPr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80" w:after="140"/>
      <w:outlineLvl w:val="0"/>
    </w:pPr>
    <w:rPr>
      <w:rFonts w:asciiTheme="majorHAnsi" w:eastAsiaTheme="majorEastAsia" w:hAnsiTheme="majorHAnsi" w:cstheme="majorBidi" w:ascii="Arial" w:hAnsi="Arial"/>
      <w:b/>
      <w:bCs/>
      <w:color w:val="17364D"/>
      <w:sz w:val="3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140"/>
      <w:outlineLvl w:val="1"/>
    </w:pPr>
    <w:rPr>
      <w:rFonts w:asciiTheme="majorHAnsi" w:eastAsiaTheme="majorEastAsia" w:hAnsiTheme="majorHAnsi" w:cstheme="majorBidi" w:ascii="Arial" w:hAnsi="Arial"/>
      <w:b/>
      <w:bCs/>
      <w:color w:val="17364D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80" w:after="140"/>
      <w:outlineLvl w:val="2"/>
    </w:pPr>
    <w:rPr>
      <w:rFonts w:asciiTheme="majorHAnsi" w:eastAsiaTheme="majorEastAsia" w:hAnsiTheme="majorHAnsi" w:cstheme="majorBidi" w:ascii="Arial" w:hAnsi="Arial"/>
      <w:b/>
      <w:bCs/>
      <w:color w:val="17364D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spacing w:after="140" w:line="240" w:lineRule="auto" w:before="0"/>
      <w:contextualSpacing/>
    </w:pPr>
    <w:rPr>
      <w:rFonts w:asciiTheme="majorHAnsi" w:eastAsiaTheme="majorEastAsia" w:hAnsiTheme="majorHAnsi" w:cstheme="majorBidi" w:ascii="Arial" w:hAnsi="Arial"/>
      <w:color w:val="000000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140"/>
    </w:pPr>
    <w:rPr>
      <w:rFonts w:asciiTheme="majorHAnsi" w:eastAsiaTheme="majorEastAsia" w:hAnsiTheme="majorHAnsi" w:cstheme="majorBidi" w:ascii="Arial" w:hAnsi="Arial"/>
      <w:i/>
      <w:iCs/>
      <w:color w:val="17364D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00"/>
      <w:contextualSpacing/>
    </w:pPr>
    <w:rPr>
      <w:rFonts w:ascii="Arial" w:hAnsi="Arial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100"/>
      <w:contextualSpacing/>
    </w:pPr>
    <w:rPr>
      <w:rFonts w:ascii="Arial" w:hAnsi="Arial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Certification Exam | Form A</dc:title>
  <dc:subject>Computer Software Assurance Foundations</dc:subject>
  <dc:creator>CSVtoCSA</dc:creator>
  <cp:keywords>CSV CSA certification foundations assessment</cp:keywords>
  <dc:description/>
  <cp:lastModifiedBy/>
  <cp:revision>1</cp:revision>
  <dcterms:created xsi:type="dcterms:W3CDTF">2013-12-23T23:15:00Z</dcterms:created>
  <dcterms:modified xsi:type="dcterms:W3CDTF">2013-12-23T23:15:00Z</dcterms:modified>
  <cp:category/>
</cp:coreProperties>
</file>